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88" w:rsidRPr="00AB0288" w:rsidRDefault="00AB0288" w:rsidP="00AB0288">
      <w:pPr>
        <w:spacing w:line="360" w:lineRule="auto"/>
        <w:rPr>
          <w:b/>
          <w:bCs/>
          <w:sz w:val="28"/>
          <w:szCs w:val="28"/>
        </w:rPr>
      </w:pPr>
      <w:r w:rsidRPr="00AB0288">
        <w:rPr>
          <w:b/>
          <w:bCs/>
          <w:sz w:val="28"/>
          <w:szCs w:val="28"/>
        </w:rPr>
        <w:t>I. POWIETRZE</w:t>
      </w:r>
    </w:p>
    <w:p w:rsidR="00AB0288" w:rsidRPr="00AB0288" w:rsidRDefault="00AB0288" w:rsidP="00AB0288">
      <w:pPr>
        <w:spacing w:line="360" w:lineRule="auto"/>
        <w:ind w:firstLine="708"/>
        <w:jc w:val="both"/>
      </w:pPr>
      <w:r w:rsidRPr="00AB0288">
        <w:t xml:space="preserve">Roczna ocena jakości powietrza atmosferycznego za rok 2015 wykonana została </w:t>
      </w:r>
      <w:r w:rsidRPr="00AB0288">
        <w:br/>
        <w:t xml:space="preserve">w oparciu o ustawę - Prawo ochrony środowiska, wprowadzoną w życie 27 kwietnia 2001 r. </w:t>
      </w:r>
      <w:r w:rsidRPr="00AB0288">
        <w:br/>
        <w:t>(Dz.U. z 2008 r., Nr 25, poz.150) oraz rozporządzenia do tej ustawy:</w:t>
      </w:r>
    </w:p>
    <w:p w:rsidR="00AB0288" w:rsidRPr="00AB0288" w:rsidRDefault="00AB0288" w:rsidP="00AB0288">
      <w:pPr>
        <w:numPr>
          <w:ilvl w:val="1"/>
          <w:numId w:val="7"/>
        </w:numPr>
        <w:spacing w:line="360" w:lineRule="auto"/>
        <w:ind w:left="360"/>
        <w:rPr>
          <w:i/>
        </w:rPr>
      </w:pPr>
      <w:r w:rsidRPr="00AB0288">
        <w:rPr>
          <w:bCs/>
          <w:i/>
        </w:rPr>
        <w:t>Rozporządzenie Ministra Środowiska z dnia 24 sierpnia 2012 r. w sprawie poziomów niektórych substancji w powietrzu,  </w:t>
      </w:r>
    </w:p>
    <w:p w:rsidR="00AB0288" w:rsidRPr="00AB0288" w:rsidRDefault="00AB0288" w:rsidP="00AB0288">
      <w:pPr>
        <w:numPr>
          <w:ilvl w:val="1"/>
          <w:numId w:val="7"/>
        </w:numPr>
        <w:spacing w:line="360" w:lineRule="auto"/>
        <w:ind w:left="360"/>
        <w:rPr>
          <w:i/>
        </w:rPr>
      </w:pPr>
      <w:r w:rsidRPr="00AB0288">
        <w:rPr>
          <w:bCs/>
          <w:i/>
        </w:rPr>
        <w:t xml:space="preserve">Rozporządzenie Ministra Środowiska z dnia 2 sierpnia 2012 r. w sprawie stref, w których dokonuje się oceny jakości powietrza, </w:t>
      </w:r>
    </w:p>
    <w:p w:rsidR="00AB0288" w:rsidRPr="00AB0288" w:rsidRDefault="00AB0288" w:rsidP="00AB0288">
      <w:pPr>
        <w:numPr>
          <w:ilvl w:val="1"/>
          <w:numId w:val="7"/>
        </w:numPr>
        <w:spacing w:line="360" w:lineRule="auto"/>
        <w:ind w:left="360"/>
        <w:rPr>
          <w:i/>
        </w:rPr>
      </w:pPr>
      <w:r w:rsidRPr="00AB0288">
        <w:rPr>
          <w:bCs/>
          <w:i/>
        </w:rPr>
        <w:t xml:space="preserve">Rozporządzenie Ministra Środowiska z dnia 13 września 2012 r. w sprawie dokonywania oceny poziomów w powietrzu. </w:t>
      </w:r>
    </w:p>
    <w:p w:rsidR="00AB0288" w:rsidRPr="00AB0288" w:rsidRDefault="00AB0288" w:rsidP="00AB0288">
      <w:pPr>
        <w:spacing w:line="360" w:lineRule="auto"/>
        <w:ind w:firstLine="360"/>
        <w:jc w:val="both"/>
      </w:pPr>
      <w:r w:rsidRPr="00AB0288">
        <w:t xml:space="preserve">W ocenie rocznej za rok 2015 uwzględniono podział kraju na strefy, określony </w:t>
      </w:r>
      <w:r w:rsidRPr="00AB0288">
        <w:br/>
        <w:t>w Rozporządzeniu Ministra Środowiska z dnia 2 sierpnia 2012 r. w sprawie stref, w których dokonuje się oceny jakości powietrza (Dz. U. 2012, poz. 914). Według tego podziału strefami są: aglomeracja o liczbie mieszkańców powyżej 250 tys., miasto o liczbie mieszkańców powyżej 100 tys., pozostały obszar województwa. Zgodnie z tą zasadą wyodrębniania stref, w województwie kujawsko - pomorskim wydzielono 4 strefy: aglomerację bydgoską, miasto Toruń i Włocławek oraz strefę kujawsko – pomorską.</w:t>
      </w:r>
    </w:p>
    <w:p w:rsidR="00AB0288" w:rsidRPr="00AB0288" w:rsidRDefault="00AB0288" w:rsidP="00AB0288">
      <w:pPr>
        <w:spacing w:line="360" w:lineRule="auto"/>
        <w:ind w:firstLine="360"/>
        <w:jc w:val="both"/>
      </w:pPr>
      <w:r w:rsidRPr="00AB0288">
        <w:t>Klasyfikację wykonuje się odrębnie ze względu na ochronę zdrowia ludzi i odrębnie ze względu na ochronę roślin. Kryteria ustanowione ze względu na ochronę roślin, dotyczą obszarów niezabudowanych, znajdujących się</w:t>
      </w:r>
      <w:bookmarkStart w:id="0" w:name="_GoBack"/>
      <w:bookmarkEnd w:id="0"/>
      <w:r w:rsidRPr="00AB0288">
        <w:t xml:space="preserve"> w odległości ponad 20 km od aglomeracji, ponad 5 km od innych miast, poza obszarem bezpośredniego oddziaływania autostrad, dróg ekspresowych i innych dróg krajowych oraz ponad 5 km od przedsięwzięć mogących znacząco oddziaływać na środowisko.</w:t>
      </w:r>
    </w:p>
    <w:p w:rsidR="00AB0288" w:rsidRPr="00AB0288" w:rsidRDefault="00AB0288" w:rsidP="00AB0288">
      <w:pPr>
        <w:spacing w:line="360" w:lineRule="auto"/>
        <w:ind w:firstLine="357"/>
        <w:jc w:val="both"/>
      </w:pPr>
      <w:r w:rsidRPr="00AB0288">
        <w:t>Klasyfikację wykonano odrębnie ze względu na ochronę zdrowia ludzi i odrębnie ze względu na ochronę roślin. Wynikiem oceny dla wszystkich substancji podlegających ocenie na terenie strefy (dla kryteriów: poziom dopuszczalny i poziom docelowy) jest zaliczenie strefy do jednej z poniżej wymienionych klas:</w:t>
      </w:r>
    </w:p>
    <w:p w:rsidR="00AB0288" w:rsidRPr="00AB0288" w:rsidRDefault="00AB0288" w:rsidP="00AB0288">
      <w:pPr>
        <w:numPr>
          <w:ilvl w:val="0"/>
          <w:numId w:val="4"/>
        </w:numPr>
        <w:spacing w:line="360" w:lineRule="auto"/>
        <w:jc w:val="both"/>
      </w:pPr>
      <w:r w:rsidRPr="00AB0288">
        <w:t>klasa A - jeżeli stężenia zanieczyszczeń nie przekraczają odpowiednio poziomów dopuszczalnych albo poziomów docelowych,</w:t>
      </w:r>
    </w:p>
    <w:p w:rsidR="00AB0288" w:rsidRPr="00AB0288" w:rsidRDefault="00AB0288" w:rsidP="00AB0288">
      <w:pPr>
        <w:numPr>
          <w:ilvl w:val="0"/>
          <w:numId w:val="4"/>
        </w:numPr>
        <w:spacing w:line="360" w:lineRule="auto"/>
        <w:jc w:val="both"/>
      </w:pPr>
      <w:r w:rsidRPr="00AB0288">
        <w:t>klasa B - jeżeli stężenia zanieczyszczeń przekraczają poziomy dopuszczalne lecz nie przekraczają poziomów dopuszczalnych powiększonych o margines tolerancji,</w:t>
      </w:r>
    </w:p>
    <w:p w:rsidR="00AB0288" w:rsidRPr="00AB0288" w:rsidRDefault="00AB0288" w:rsidP="00AB0288">
      <w:pPr>
        <w:numPr>
          <w:ilvl w:val="0"/>
          <w:numId w:val="4"/>
        </w:numPr>
        <w:spacing w:line="360" w:lineRule="auto"/>
        <w:jc w:val="both"/>
      </w:pPr>
      <w:r w:rsidRPr="00AB0288">
        <w:t xml:space="preserve">klasa C - jeżeli stężenia zanieczyszczeń przekraczają poziomy dopuszczalne powiększone o margines tolerancji, a w przypadku gdy margines tolerancji nie jest określony – </w:t>
      </w:r>
      <w:r w:rsidRPr="00AB0288">
        <w:lastRenderedPageBreak/>
        <w:t>poziomy dopuszczalne albo przekraczają poziomy docelowe (z wyjątkiem pyłu zawieszonego PM2,5),</w:t>
      </w:r>
    </w:p>
    <w:p w:rsidR="00AB0288" w:rsidRPr="00AB0288" w:rsidRDefault="00AB0288" w:rsidP="00AB0288">
      <w:pPr>
        <w:numPr>
          <w:ilvl w:val="0"/>
          <w:numId w:val="4"/>
        </w:numPr>
        <w:spacing w:line="360" w:lineRule="auto"/>
        <w:jc w:val="both"/>
      </w:pPr>
      <w:r w:rsidRPr="00AB0288">
        <w:t>klasa E - jeżeli stężenie średnie roczne pyłu zawieszonego PM2,5 przekracza poziom docelowy.</w:t>
      </w:r>
    </w:p>
    <w:p w:rsidR="00AB0288" w:rsidRPr="00AB0288" w:rsidRDefault="00AB0288" w:rsidP="00AB0288">
      <w:pPr>
        <w:spacing w:line="360" w:lineRule="auto"/>
        <w:ind w:firstLine="360"/>
      </w:pPr>
      <w:r w:rsidRPr="00AB0288">
        <w:t>W przypadku poziomów celów długoterminowych dla ozonu przyjęto następujące oznaczenie klas:</w:t>
      </w:r>
    </w:p>
    <w:p w:rsidR="00AB0288" w:rsidRPr="00AB0288" w:rsidRDefault="00AB0288" w:rsidP="00AB0288">
      <w:pPr>
        <w:numPr>
          <w:ilvl w:val="0"/>
          <w:numId w:val="5"/>
        </w:numPr>
        <w:tabs>
          <w:tab w:val="num" w:pos="426"/>
        </w:tabs>
        <w:spacing w:line="360" w:lineRule="auto"/>
        <w:ind w:left="426" w:hanging="426"/>
        <w:jc w:val="both"/>
      </w:pPr>
      <w:r w:rsidRPr="00AB0288">
        <w:t>klasa D1 - jeżeli stężenia ozonu nie przekraczają poziomu celu długoterminowego,</w:t>
      </w:r>
    </w:p>
    <w:p w:rsidR="00AB0288" w:rsidRPr="00AB0288" w:rsidRDefault="00AB0288" w:rsidP="00AB0288">
      <w:pPr>
        <w:numPr>
          <w:ilvl w:val="0"/>
          <w:numId w:val="5"/>
        </w:numPr>
        <w:tabs>
          <w:tab w:val="num" w:pos="426"/>
        </w:tabs>
        <w:spacing w:line="360" w:lineRule="auto"/>
        <w:ind w:left="426" w:hanging="426"/>
        <w:jc w:val="both"/>
      </w:pPr>
      <w:r w:rsidRPr="00AB0288">
        <w:t>klasa D2 - jeżeli stężenia ozonu przekraczają poziom celu długoterminowego.</w:t>
      </w:r>
    </w:p>
    <w:p w:rsidR="00AB0288" w:rsidRPr="00AB0288" w:rsidRDefault="00AB0288" w:rsidP="00AB0288">
      <w:pPr>
        <w:spacing w:after="120" w:line="360" w:lineRule="auto"/>
        <w:ind w:firstLine="360"/>
        <w:jc w:val="both"/>
      </w:pPr>
      <w:r w:rsidRPr="00AB0288">
        <w:t>W ocenie rocznej za 2015 rok pod k</w:t>
      </w:r>
      <w:r w:rsidRPr="00AB0288">
        <w:rPr>
          <w:rFonts w:eastAsia="TimesNewRoman"/>
        </w:rPr>
        <w:t>ą</w:t>
      </w:r>
      <w:r w:rsidRPr="00AB0288">
        <w:t>tem spełnienia kryteriów ustanowionych w celu ochrony zdrowia uwzgl</w:t>
      </w:r>
      <w:r w:rsidRPr="00AB0288">
        <w:rPr>
          <w:rFonts w:eastAsia="TimesNewRoman"/>
        </w:rPr>
        <w:t>ę</w:t>
      </w:r>
      <w:r w:rsidRPr="00AB0288">
        <w:t>dniono: dwutlenek siarki, dwutlenek azotu, tlenek w</w:t>
      </w:r>
      <w:r w:rsidRPr="00AB0288">
        <w:rPr>
          <w:rFonts w:eastAsia="TimesNewRoman"/>
        </w:rPr>
        <w:t>ę</w:t>
      </w:r>
      <w:r w:rsidRPr="00AB0288">
        <w:t>gla, benzen, ozon, pył PM10, ołów w PM10, arsen w PM10, kadm w PM10, nikiel w PM10, benzo(a)piren w pyle PM10, pył PM2,5. Ocena dokonywana pod k</w:t>
      </w:r>
      <w:r w:rsidRPr="00AB0288">
        <w:rPr>
          <w:rFonts w:eastAsia="TimesNewRoman"/>
        </w:rPr>
        <w:t>ą</w:t>
      </w:r>
      <w:r w:rsidRPr="00AB0288">
        <w:t>tem spełnienia kryteriów odniesionych do ochrony ro</w:t>
      </w:r>
      <w:r w:rsidRPr="00AB0288">
        <w:rPr>
          <w:rFonts w:eastAsia="TimesNewRoman"/>
        </w:rPr>
        <w:t>ś</w:t>
      </w:r>
      <w:r w:rsidRPr="00AB0288">
        <w:t>lin objęła: dwutlenek siarki, tlenki azotu i ozon.</w:t>
      </w:r>
    </w:p>
    <w:p w:rsidR="00AB0288" w:rsidRPr="00AB0288" w:rsidRDefault="00AB0288" w:rsidP="00AB0288">
      <w:pPr>
        <w:spacing w:after="120" w:line="360" w:lineRule="auto"/>
        <w:ind w:firstLine="360"/>
      </w:pPr>
      <w:r w:rsidRPr="00AB0288">
        <w:t>Poniżej przedstawiono wartości kryterialne zastosowane w ocenie rocznej sporządzonej dla województwa kujawsko – pomorskiego za 2015 rok:</w:t>
      </w:r>
    </w:p>
    <w:p w:rsidR="00AB0288" w:rsidRPr="00AB0288" w:rsidRDefault="00AB0288" w:rsidP="00AB0288">
      <w:pPr>
        <w:numPr>
          <w:ilvl w:val="0"/>
          <w:numId w:val="8"/>
        </w:numPr>
        <w:spacing w:after="200" w:line="360" w:lineRule="auto"/>
        <w:jc w:val="both"/>
        <w:rPr>
          <w:b/>
        </w:rPr>
      </w:pPr>
      <w:r w:rsidRPr="00AB0288">
        <w:rPr>
          <w:b/>
        </w:rPr>
        <w:t>ochrona zdrowia</w:t>
      </w:r>
    </w:p>
    <w:p w:rsidR="00AB0288" w:rsidRPr="00AB0288" w:rsidRDefault="00AB0288" w:rsidP="00AB0288">
      <w:pPr>
        <w:spacing w:line="480" w:lineRule="auto"/>
        <w:rPr>
          <w:b/>
          <w:sz w:val="22"/>
        </w:rPr>
      </w:pPr>
      <w:r w:rsidRPr="00AB0288">
        <w:rPr>
          <w:b/>
          <w:sz w:val="22"/>
        </w:rPr>
        <w:t>POZIOMY DOPUSZCZALNE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559"/>
        <w:gridCol w:w="1276"/>
        <w:gridCol w:w="1701"/>
        <w:gridCol w:w="1769"/>
      </w:tblGrid>
      <w:tr w:rsidR="00AB0288" w:rsidRPr="00AB0288" w:rsidTr="002A5484">
        <w:trPr>
          <w:jc w:val="center"/>
        </w:trPr>
        <w:tc>
          <w:tcPr>
            <w:tcW w:w="1913"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1559"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1276"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Dopuszczalny poziom substancji w powietrzu (µg/m</w:t>
            </w:r>
            <w:r w:rsidRPr="00AB0288">
              <w:rPr>
                <w:sz w:val="18"/>
                <w:vertAlign w:val="superscript"/>
              </w:rPr>
              <w:t>3</w:t>
            </w:r>
            <w:r w:rsidRPr="00AB0288">
              <w:rPr>
                <w:sz w:val="18"/>
              </w:rPr>
              <w:t>)</w:t>
            </w:r>
          </w:p>
        </w:tc>
        <w:tc>
          <w:tcPr>
            <w:tcW w:w="1701"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Dopuszczalny poziom substancji w powietrzu powiększony o margines tolerancji za rok 2015 (µg/m</w:t>
            </w:r>
            <w:r w:rsidRPr="00AB0288">
              <w:rPr>
                <w:sz w:val="18"/>
                <w:vertAlign w:val="superscript"/>
              </w:rPr>
              <w:t>3</w:t>
            </w:r>
            <w:r w:rsidRPr="00AB0288">
              <w:rPr>
                <w:sz w:val="18"/>
              </w:rPr>
              <w:t>)</w:t>
            </w:r>
          </w:p>
        </w:tc>
        <w:tc>
          <w:tcPr>
            <w:tcW w:w="1769" w:type="dxa"/>
            <w:tcBorders>
              <w:top w:val="single" w:sz="12"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Dopuszczalna częstość przekraczania poziomu dopuszczalnego w  roku kalendarzowym</w:t>
            </w:r>
          </w:p>
        </w:tc>
      </w:tr>
      <w:tr w:rsidR="00AB0288" w:rsidRPr="00AB0288" w:rsidTr="002A5484">
        <w:trPr>
          <w:jc w:val="center"/>
        </w:trPr>
        <w:tc>
          <w:tcPr>
            <w:tcW w:w="1913" w:type="dxa"/>
            <w:tcBorders>
              <w:top w:val="single" w:sz="12" w:space="0" w:color="auto"/>
              <w:left w:val="single" w:sz="12" w:space="0" w:color="auto"/>
            </w:tcBorders>
            <w:vAlign w:val="center"/>
          </w:tcPr>
          <w:p w:rsidR="00AB0288" w:rsidRPr="00AB0288" w:rsidRDefault="00AB0288" w:rsidP="00AB0288">
            <w:pPr>
              <w:jc w:val="center"/>
              <w:rPr>
                <w:sz w:val="18"/>
              </w:rPr>
            </w:pPr>
            <w:r w:rsidRPr="00AB0288">
              <w:rPr>
                <w:sz w:val="18"/>
              </w:rPr>
              <w:t>Benzen</w:t>
            </w:r>
          </w:p>
        </w:tc>
        <w:tc>
          <w:tcPr>
            <w:tcW w:w="1559" w:type="dxa"/>
            <w:tcBorders>
              <w:top w:val="single" w:sz="12" w:space="0" w:color="auto"/>
            </w:tcBorders>
            <w:vAlign w:val="center"/>
          </w:tcPr>
          <w:p w:rsidR="00AB0288" w:rsidRPr="00AB0288" w:rsidRDefault="00AB0288" w:rsidP="00AB0288">
            <w:pPr>
              <w:jc w:val="center"/>
              <w:rPr>
                <w:sz w:val="18"/>
              </w:rPr>
            </w:pPr>
            <w:r w:rsidRPr="00AB0288">
              <w:rPr>
                <w:sz w:val="18"/>
              </w:rPr>
              <w:t>rok kalendarzowy</w:t>
            </w:r>
          </w:p>
        </w:tc>
        <w:tc>
          <w:tcPr>
            <w:tcW w:w="1276" w:type="dxa"/>
            <w:tcBorders>
              <w:top w:val="single" w:sz="12" w:space="0" w:color="auto"/>
            </w:tcBorders>
            <w:vAlign w:val="center"/>
          </w:tcPr>
          <w:p w:rsidR="00AB0288" w:rsidRPr="00AB0288" w:rsidRDefault="00AB0288" w:rsidP="00AB0288">
            <w:pPr>
              <w:jc w:val="center"/>
              <w:rPr>
                <w:sz w:val="18"/>
              </w:rPr>
            </w:pPr>
            <w:r w:rsidRPr="00AB0288">
              <w:rPr>
                <w:sz w:val="18"/>
              </w:rPr>
              <w:t>5</w:t>
            </w:r>
          </w:p>
        </w:tc>
        <w:tc>
          <w:tcPr>
            <w:tcW w:w="1701" w:type="dxa"/>
            <w:tcBorders>
              <w:top w:val="single" w:sz="12" w:space="0" w:color="auto"/>
            </w:tcBorders>
            <w:vAlign w:val="center"/>
          </w:tcPr>
          <w:p w:rsidR="00AB0288" w:rsidRPr="00AB0288" w:rsidRDefault="00AB0288" w:rsidP="00AB0288">
            <w:pPr>
              <w:jc w:val="center"/>
              <w:rPr>
                <w:sz w:val="18"/>
              </w:rPr>
            </w:pPr>
            <w:r w:rsidRPr="00AB0288">
              <w:rPr>
                <w:sz w:val="18"/>
              </w:rPr>
              <w:t>5</w:t>
            </w:r>
          </w:p>
        </w:tc>
        <w:tc>
          <w:tcPr>
            <w:tcW w:w="1769" w:type="dxa"/>
            <w:tcBorders>
              <w:top w:val="single" w:sz="12" w:space="0" w:color="auto"/>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13" w:type="dxa"/>
            <w:vMerge w:val="restart"/>
            <w:tcBorders>
              <w:left w:val="single" w:sz="12" w:space="0" w:color="auto"/>
            </w:tcBorders>
            <w:vAlign w:val="center"/>
          </w:tcPr>
          <w:p w:rsidR="00AB0288" w:rsidRPr="00AB0288" w:rsidRDefault="00AB0288" w:rsidP="00AB0288">
            <w:pPr>
              <w:jc w:val="center"/>
              <w:rPr>
                <w:sz w:val="18"/>
              </w:rPr>
            </w:pPr>
            <w:r w:rsidRPr="00AB0288">
              <w:rPr>
                <w:sz w:val="18"/>
              </w:rPr>
              <w:t>Dwutlenek azotu</w:t>
            </w:r>
          </w:p>
        </w:tc>
        <w:tc>
          <w:tcPr>
            <w:tcW w:w="1559" w:type="dxa"/>
            <w:vAlign w:val="center"/>
          </w:tcPr>
          <w:p w:rsidR="00AB0288" w:rsidRPr="00AB0288" w:rsidRDefault="00AB0288" w:rsidP="00AB0288">
            <w:pPr>
              <w:jc w:val="center"/>
              <w:rPr>
                <w:sz w:val="18"/>
              </w:rPr>
            </w:pPr>
            <w:r w:rsidRPr="00AB0288">
              <w:rPr>
                <w:sz w:val="18"/>
              </w:rPr>
              <w:t>jedna godzina</w:t>
            </w:r>
          </w:p>
        </w:tc>
        <w:tc>
          <w:tcPr>
            <w:tcW w:w="1276" w:type="dxa"/>
            <w:vAlign w:val="center"/>
          </w:tcPr>
          <w:p w:rsidR="00AB0288" w:rsidRPr="00AB0288" w:rsidRDefault="00AB0288" w:rsidP="00AB0288">
            <w:pPr>
              <w:jc w:val="center"/>
              <w:rPr>
                <w:sz w:val="18"/>
              </w:rPr>
            </w:pPr>
            <w:r w:rsidRPr="00AB0288">
              <w:rPr>
                <w:sz w:val="18"/>
              </w:rPr>
              <w:t>200</w:t>
            </w:r>
          </w:p>
        </w:tc>
        <w:tc>
          <w:tcPr>
            <w:tcW w:w="1701" w:type="dxa"/>
            <w:vAlign w:val="center"/>
          </w:tcPr>
          <w:p w:rsidR="00AB0288" w:rsidRPr="00AB0288" w:rsidRDefault="00AB0288" w:rsidP="00AB0288">
            <w:pPr>
              <w:jc w:val="center"/>
              <w:rPr>
                <w:sz w:val="18"/>
              </w:rPr>
            </w:pPr>
            <w:r w:rsidRPr="00AB0288">
              <w:rPr>
                <w:sz w:val="18"/>
              </w:rPr>
              <w:t>200</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18 razy</w:t>
            </w:r>
          </w:p>
        </w:tc>
      </w:tr>
      <w:tr w:rsidR="00AB0288" w:rsidRPr="00AB0288" w:rsidTr="002A5484">
        <w:trPr>
          <w:cantSplit/>
          <w:jc w:val="center"/>
        </w:trPr>
        <w:tc>
          <w:tcPr>
            <w:tcW w:w="1913" w:type="dxa"/>
            <w:vMerge/>
            <w:tcBorders>
              <w:left w:val="single" w:sz="12" w:space="0" w:color="auto"/>
            </w:tcBorders>
            <w:vAlign w:val="center"/>
          </w:tcPr>
          <w:p w:rsidR="00AB0288" w:rsidRPr="00AB0288" w:rsidRDefault="00AB0288" w:rsidP="00AB0288">
            <w:pPr>
              <w:jc w:val="center"/>
              <w:rPr>
                <w:sz w:val="18"/>
              </w:rPr>
            </w:pPr>
          </w:p>
        </w:tc>
        <w:tc>
          <w:tcPr>
            <w:tcW w:w="1559" w:type="dxa"/>
            <w:vAlign w:val="center"/>
          </w:tcPr>
          <w:p w:rsidR="00AB0288" w:rsidRPr="00AB0288" w:rsidRDefault="00AB0288" w:rsidP="00AB0288">
            <w:pPr>
              <w:jc w:val="center"/>
              <w:rPr>
                <w:sz w:val="18"/>
              </w:rPr>
            </w:pPr>
            <w:r w:rsidRPr="00AB0288">
              <w:rPr>
                <w:sz w:val="18"/>
              </w:rPr>
              <w:t>rok kalendarzowy</w:t>
            </w:r>
          </w:p>
        </w:tc>
        <w:tc>
          <w:tcPr>
            <w:tcW w:w="1276" w:type="dxa"/>
            <w:vAlign w:val="center"/>
          </w:tcPr>
          <w:p w:rsidR="00AB0288" w:rsidRPr="00AB0288" w:rsidRDefault="00AB0288" w:rsidP="00AB0288">
            <w:pPr>
              <w:jc w:val="center"/>
              <w:rPr>
                <w:sz w:val="18"/>
              </w:rPr>
            </w:pPr>
            <w:r w:rsidRPr="00AB0288">
              <w:rPr>
                <w:sz w:val="18"/>
              </w:rPr>
              <w:t>40</w:t>
            </w:r>
          </w:p>
        </w:tc>
        <w:tc>
          <w:tcPr>
            <w:tcW w:w="1701" w:type="dxa"/>
            <w:vAlign w:val="center"/>
          </w:tcPr>
          <w:p w:rsidR="00AB0288" w:rsidRPr="00AB0288" w:rsidRDefault="00AB0288" w:rsidP="00AB0288">
            <w:pPr>
              <w:jc w:val="center"/>
              <w:rPr>
                <w:sz w:val="18"/>
              </w:rPr>
            </w:pPr>
            <w:r w:rsidRPr="00AB0288">
              <w:rPr>
                <w:sz w:val="18"/>
              </w:rPr>
              <w:t>40</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13" w:type="dxa"/>
            <w:vMerge w:val="restart"/>
            <w:tcBorders>
              <w:left w:val="single" w:sz="12" w:space="0" w:color="auto"/>
            </w:tcBorders>
            <w:vAlign w:val="center"/>
          </w:tcPr>
          <w:p w:rsidR="00AB0288" w:rsidRPr="00AB0288" w:rsidRDefault="00AB0288" w:rsidP="00AB0288">
            <w:pPr>
              <w:jc w:val="center"/>
              <w:rPr>
                <w:sz w:val="18"/>
              </w:rPr>
            </w:pPr>
            <w:r w:rsidRPr="00AB0288">
              <w:rPr>
                <w:sz w:val="18"/>
              </w:rPr>
              <w:t>Dwutlenek siarki</w:t>
            </w:r>
          </w:p>
        </w:tc>
        <w:tc>
          <w:tcPr>
            <w:tcW w:w="1559" w:type="dxa"/>
            <w:vAlign w:val="center"/>
          </w:tcPr>
          <w:p w:rsidR="00AB0288" w:rsidRPr="00AB0288" w:rsidRDefault="00AB0288" w:rsidP="00AB0288">
            <w:pPr>
              <w:jc w:val="center"/>
              <w:rPr>
                <w:sz w:val="18"/>
              </w:rPr>
            </w:pPr>
            <w:r w:rsidRPr="00AB0288">
              <w:rPr>
                <w:sz w:val="18"/>
              </w:rPr>
              <w:t>jedna godzina</w:t>
            </w:r>
          </w:p>
        </w:tc>
        <w:tc>
          <w:tcPr>
            <w:tcW w:w="1276" w:type="dxa"/>
            <w:vAlign w:val="center"/>
          </w:tcPr>
          <w:p w:rsidR="00AB0288" w:rsidRPr="00AB0288" w:rsidRDefault="00AB0288" w:rsidP="00AB0288">
            <w:pPr>
              <w:jc w:val="center"/>
              <w:rPr>
                <w:sz w:val="18"/>
              </w:rPr>
            </w:pPr>
            <w:r w:rsidRPr="00AB0288">
              <w:rPr>
                <w:sz w:val="18"/>
              </w:rPr>
              <w:t>350</w:t>
            </w:r>
          </w:p>
        </w:tc>
        <w:tc>
          <w:tcPr>
            <w:tcW w:w="1701" w:type="dxa"/>
            <w:vAlign w:val="center"/>
          </w:tcPr>
          <w:p w:rsidR="00AB0288" w:rsidRPr="00AB0288" w:rsidRDefault="00AB0288" w:rsidP="00AB0288">
            <w:pPr>
              <w:jc w:val="center"/>
              <w:rPr>
                <w:sz w:val="18"/>
              </w:rPr>
            </w:pPr>
            <w:r w:rsidRPr="00AB0288">
              <w:rPr>
                <w:sz w:val="18"/>
              </w:rPr>
              <w:t>350</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24 razy</w:t>
            </w:r>
          </w:p>
        </w:tc>
      </w:tr>
      <w:tr w:rsidR="00AB0288" w:rsidRPr="00AB0288" w:rsidTr="002A5484">
        <w:trPr>
          <w:cantSplit/>
          <w:jc w:val="center"/>
        </w:trPr>
        <w:tc>
          <w:tcPr>
            <w:tcW w:w="1913" w:type="dxa"/>
            <w:vMerge/>
            <w:tcBorders>
              <w:left w:val="single" w:sz="12" w:space="0" w:color="auto"/>
            </w:tcBorders>
            <w:vAlign w:val="center"/>
          </w:tcPr>
          <w:p w:rsidR="00AB0288" w:rsidRPr="00AB0288" w:rsidRDefault="00AB0288" w:rsidP="00AB0288">
            <w:pPr>
              <w:jc w:val="center"/>
              <w:rPr>
                <w:sz w:val="18"/>
              </w:rPr>
            </w:pPr>
          </w:p>
        </w:tc>
        <w:tc>
          <w:tcPr>
            <w:tcW w:w="1559" w:type="dxa"/>
            <w:vAlign w:val="center"/>
          </w:tcPr>
          <w:p w:rsidR="00AB0288" w:rsidRPr="00AB0288" w:rsidRDefault="00AB0288" w:rsidP="00AB0288">
            <w:pPr>
              <w:jc w:val="center"/>
              <w:rPr>
                <w:sz w:val="18"/>
              </w:rPr>
            </w:pPr>
            <w:r w:rsidRPr="00AB0288">
              <w:rPr>
                <w:sz w:val="18"/>
              </w:rPr>
              <w:t>24 godziny</w:t>
            </w:r>
          </w:p>
        </w:tc>
        <w:tc>
          <w:tcPr>
            <w:tcW w:w="1276" w:type="dxa"/>
            <w:vAlign w:val="center"/>
          </w:tcPr>
          <w:p w:rsidR="00AB0288" w:rsidRPr="00AB0288" w:rsidRDefault="00AB0288" w:rsidP="00AB0288">
            <w:pPr>
              <w:jc w:val="center"/>
              <w:rPr>
                <w:sz w:val="18"/>
              </w:rPr>
            </w:pPr>
            <w:r w:rsidRPr="00AB0288">
              <w:rPr>
                <w:sz w:val="18"/>
              </w:rPr>
              <w:t>125</w:t>
            </w:r>
          </w:p>
        </w:tc>
        <w:tc>
          <w:tcPr>
            <w:tcW w:w="1701" w:type="dxa"/>
            <w:vAlign w:val="center"/>
          </w:tcPr>
          <w:p w:rsidR="00AB0288" w:rsidRPr="00AB0288" w:rsidRDefault="00AB0288" w:rsidP="00AB0288">
            <w:pPr>
              <w:jc w:val="center"/>
              <w:rPr>
                <w:sz w:val="18"/>
              </w:rPr>
            </w:pPr>
            <w:r w:rsidRPr="00AB0288">
              <w:rPr>
                <w:sz w:val="18"/>
              </w:rPr>
              <w:t>125</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3 razy</w:t>
            </w:r>
          </w:p>
        </w:tc>
      </w:tr>
      <w:tr w:rsidR="00AB0288" w:rsidRPr="00AB0288" w:rsidTr="002A5484">
        <w:trPr>
          <w:jc w:val="center"/>
        </w:trPr>
        <w:tc>
          <w:tcPr>
            <w:tcW w:w="1913" w:type="dxa"/>
            <w:tcBorders>
              <w:left w:val="single" w:sz="12" w:space="0" w:color="auto"/>
            </w:tcBorders>
            <w:vAlign w:val="center"/>
          </w:tcPr>
          <w:p w:rsidR="00AB0288" w:rsidRPr="00AB0288" w:rsidRDefault="00AB0288" w:rsidP="00AB0288">
            <w:pPr>
              <w:jc w:val="center"/>
              <w:rPr>
                <w:sz w:val="18"/>
              </w:rPr>
            </w:pPr>
            <w:r w:rsidRPr="00AB0288">
              <w:rPr>
                <w:sz w:val="18"/>
              </w:rPr>
              <w:t>Ołów</w:t>
            </w:r>
          </w:p>
        </w:tc>
        <w:tc>
          <w:tcPr>
            <w:tcW w:w="1559" w:type="dxa"/>
            <w:vAlign w:val="center"/>
          </w:tcPr>
          <w:p w:rsidR="00AB0288" w:rsidRPr="00AB0288" w:rsidRDefault="00AB0288" w:rsidP="00AB0288">
            <w:pPr>
              <w:jc w:val="center"/>
              <w:rPr>
                <w:sz w:val="18"/>
              </w:rPr>
            </w:pPr>
            <w:r w:rsidRPr="00AB0288">
              <w:rPr>
                <w:sz w:val="18"/>
              </w:rPr>
              <w:t>rok kalendarzowy</w:t>
            </w:r>
          </w:p>
        </w:tc>
        <w:tc>
          <w:tcPr>
            <w:tcW w:w="1276" w:type="dxa"/>
            <w:vAlign w:val="center"/>
          </w:tcPr>
          <w:p w:rsidR="00AB0288" w:rsidRPr="00AB0288" w:rsidRDefault="00AB0288" w:rsidP="00AB0288">
            <w:pPr>
              <w:jc w:val="center"/>
              <w:rPr>
                <w:sz w:val="18"/>
              </w:rPr>
            </w:pPr>
            <w:r w:rsidRPr="00AB0288">
              <w:rPr>
                <w:sz w:val="18"/>
              </w:rPr>
              <w:t>0,5</w:t>
            </w:r>
          </w:p>
        </w:tc>
        <w:tc>
          <w:tcPr>
            <w:tcW w:w="1701" w:type="dxa"/>
            <w:vAlign w:val="center"/>
          </w:tcPr>
          <w:p w:rsidR="00AB0288" w:rsidRPr="00AB0288" w:rsidRDefault="00AB0288" w:rsidP="00AB0288">
            <w:pPr>
              <w:jc w:val="center"/>
              <w:rPr>
                <w:sz w:val="18"/>
              </w:rPr>
            </w:pPr>
            <w:r w:rsidRPr="00AB0288">
              <w:rPr>
                <w:sz w:val="18"/>
              </w:rPr>
              <w:t>0,5</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jc w:val="center"/>
        </w:trPr>
        <w:tc>
          <w:tcPr>
            <w:tcW w:w="1913" w:type="dxa"/>
            <w:tcBorders>
              <w:left w:val="single" w:sz="12" w:space="0" w:color="auto"/>
            </w:tcBorders>
            <w:vAlign w:val="center"/>
          </w:tcPr>
          <w:p w:rsidR="00AB0288" w:rsidRPr="00AB0288" w:rsidRDefault="00AB0288" w:rsidP="00AB0288">
            <w:pPr>
              <w:jc w:val="center"/>
              <w:rPr>
                <w:sz w:val="18"/>
              </w:rPr>
            </w:pPr>
            <w:r w:rsidRPr="00AB0288">
              <w:rPr>
                <w:sz w:val="18"/>
              </w:rPr>
              <w:t>Pył zawieszony PM2,5</w:t>
            </w:r>
          </w:p>
        </w:tc>
        <w:tc>
          <w:tcPr>
            <w:tcW w:w="1559" w:type="dxa"/>
            <w:vAlign w:val="center"/>
          </w:tcPr>
          <w:p w:rsidR="00AB0288" w:rsidRPr="00AB0288" w:rsidRDefault="00AB0288" w:rsidP="00AB0288">
            <w:pPr>
              <w:jc w:val="center"/>
              <w:rPr>
                <w:sz w:val="18"/>
              </w:rPr>
            </w:pPr>
            <w:r w:rsidRPr="00AB0288">
              <w:rPr>
                <w:sz w:val="18"/>
              </w:rPr>
              <w:t>rok kalendarzowy</w:t>
            </w:r>
          </w:p>
        </w:tc>
        <w:tc>
          <w:tcPr>
            <w:tcW w:w="1276" w:type="dxa"/>
            <w:vAlign w:val="center"/>
          </w:tcPr>
          <w:p w:rsidR="00AB0288" w:rsidRPr="00AB0288" w:rsidRDefault="00AB0288" w:rsidP="00AB0288">
            <w:pPr>
              <w:jc w:val="center"/>
              <w:rPr>
                <w:sz w:val="18"/>
              </w:rPr>
            </w:pPr>
            <w:r w:rsidRPr="00AB0288">
              <w:rPr>
                <w:sz w:val="18"/>
              </w:rPr>
              <w:t>25</w:t>
            </w:r>
          </w:p>
        </w:tc>
        <w:tc>
          <w:tcPr>
            <w:tcW w:w="1701" w:type="dxa"/>
            <w:vAlign w:val="center"/>
          </w:tcPr>
          <w:p w:rsidR="00AB0288" w:rsidRPr="00AB0288" w:rsidRDefault="00AB0288" w:rsidP="00AB0288">
            <w:pPr>
              <w:jc w:val="center"/>
              <w:rPr>
                <w:sz w:val="18"/>
              </w:rPr>
            </w:pPr>
            <w:r w:rsidRPr="00AB0288">
              <w:rPr>
                <w:sz w:val="18"/>
              </w:rPr>
              <w:t>26</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13" w:type="dxa"/>
            <w:vMerge w:val="restart"/>
            <w:tcBorders>
              <w:left w:val="single" w:sz="12" w:space="0" w:color="auto"/>
            </w:tcBorders>
            <w:vAlign w:val="center"/>
          </w:tcPr>
          <w:p w:rsidR="00AB0288" w:rsidRPr="00AB0288" w:rsidRDefault="00AB0288" w:rsidP="00AB0288">
            <w:pPr>
              <w:jc w:val="center"/>
              <w:rPr>
                <w:sz w:val="18"/>
              </w:rPr>
            </w:pPr>
            <w:r w:rsidRPr="00AB0288">
              <w:rPr>
                <w:sz w:val="18"/>
              </w:rPr>
              <w:t>Pył zawieszony PM10</w:t>
            </w:r>
          </w:p>
        </w:tc>
        <w:tc>
          <w:tcPr>
            <w:tcW w:w="1559" w:type="dxa"/>
            <w:vAlign w:val="center"/>
          </w:tcPr>
          <w:p w:rsidR="00AB0288" w:rsidRPr="00AB0288" w:rsidRDefault="00AB0288" w:rsidP="00AB0288">
            <w:pPr>
              <w:jc w:val="center"/>
              <w:rPr>
                <w:sz w:val="18"/>
              </w:rPr>
            </w:pPr>
            <w:r w:rsidRPr="00AB0288">
              <w:rPr>
                <w:sz w:val="18"/>
              </w:rPr>
              <w:t>24 godziny</w:t>
            </w:r>
          </w:p>
        </w:tc>
        <w:tc>
          <w:tcPr>
            <w:tcW w:w="1276" w:type="dxa"/>
            <w:vAlign w:val="center"/>
          </w:tcPr>
          <w:p w:rsidR="00AB0288" w:rsidRPr="00AB0288" w:rsidRDefault="00AB0288" w:rsidP="00AB0288">
            <w:pPr>
              <w:jc w:val="center"/>
              <w:rPr>
                <w:sz w:val="18"/>
              </w:rPr>
            </w:pPr>
            <w:r w:rsidRPr="00AB0288">
              <w:rPr>
                <w:sz w:val="18"/>
              </w:rPr>
              <w:t>50</w:t>
            </w:r>
          </w:p>
        </w:tc>
        <w:tc>
          <w:tcPr>
            <w:tcW w:w="1701" w:type="dxa"/>
            <w:vAlign w:val="center"/>
          </w:tcPr>
          <w:p w:rsidR="00AB0288" w:rsidRPr="00AB0288" w:rsidRDefault="00AB0288" w:rsidP="00AB0288">
            <w:pPr>
              <w:jc w:val="center"/>
              <w:rPr>
                <w:sz w:val="18"/>
              </w:rPr>
            </w:pPr>
            <w:r w:rsidRPr="00AB0288">
              <w:rPr>
                <w:sz w:val="18"/>
              </w:rPr>
              <w:t>50</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35 razy</w:t>
            </w:r>
          </w:p>
        </w:tc>
      </w:tr>
      <w:tr w:rsidR="00AB0288" w:rsidRPr="00AB0288" w:rsidTr="002A5484">
        <w:trPr>
          <w:cantSplit/>
          <w:jc w:val="center"/>
        </w:trPr>
        <w:tc>
          <w:tcPr>
            <w:tcW w:w="1913" w:type="dxa"/>
            <w:vMerge/>
            <w:tcBorders>
              <w:left w:val="single" w:sz="12" w:space="0" w:color="auto"/>
            </w:tcBorders>
            <w:vAlign w:val="center"/>
          </w:tcPr>
          <w:p w:rsidR="00AB0288" w:rsidRPr="00AB0288" w:rsidRDefault="00AB0288" w:rsidP="00AB0288">
            <w:pPr>
              <w:jc w:val="center"/>
              <w:rPr>
                <w:sz w:val="18"/>
              </w:rPr>
            </w:pPr>
          </w:p>
        </w:tc>
        <w:tc>
          <w:tcPr>
            <w:tcW w:w="1559" w:type="dxa"/>
            <w:vAlign w:val="center"/>
          </w:tcPr>
          <w:p w:rsidR="00AB0288" w:rsidRPr="00AB0288" w:rsidRDefault="00AB0288" w:rsidP="00AB0288">
            <w:pPr>
              <w:jc w:val="center"/>
              <w:rPr>
                <w:sz w:val="18"/>
              </w:rPr>
            </w:pPr>
            <w:r w:rsidRPr="00AB0288">
              <w:rPr>
                <w:sz w:val="18"/>
              </w:rPr>
              <w:t>rok kalendarzowy</w:t>
            </w:r>
          </w:p>
        </w:tc>
        <w:tc>
          <w:tcPr>
            <w:tcW w:w="1276" w:type="dxa"/>
            <w:vAlign w:val="center"/>
          </w:tcPr>
          <w:p w:rsidR="00AB0288" w:rsidRPr="00AB0288" w:rsidRDefault="00AB0288" w:rsidP="00AB0288">
            <w:pPr>
              <w:jc w:val="center"/>
              <w:rPr>
                <w:sz w:val="18"/>
              </w:rPr>
            </w:pPr>
            <w:r w:rsidRPr="00AB0288">
              <w:rPr>
                <w:sz w:val="18"/>
              </w:rPr>
              <w:t>40</w:t>
            </w:r>
          </w:p>
        </w:tc>
        <w:tc>
          <w:tcPr>
            <w:tcW w:w="1701" w:type="dxa"/>
            <w:vAlign w:val="center"/>
          </w:tcPr>
          <w:p w:rsidR="00AB0288" w:rsidRPr="00AB0288" w:rsidRDefault="00AB0288" w:rsidP="00AB0288">
            <w:pPr>
              <w:jc w:val="center"/>
              <w:rPr>
                <w:sz w:val="18"/>
              </w:rPr>
            </w:pPr>
            <w:r w:rsidRPr="00AB0288">
              <w:rPr>
                <w:sz w:val="18"/>
              </w:rPr>
              <w:t>40</w:t>
            </w:r>
          </w:p>
        </w:tc>
        <w:tc>
          <w:tcPr>
            <w:tcW w:w="176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jc w:val="center"/>
        </w:trPr>
        <w:tc>
          <w:tcPr>
            <w:tcW w:w="1913" w:type="dxa"/>
            <w:tcBorders>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Tlenek węgla</w:t>
            </w:r>
          </w:p>
        </w:tc>
        <w:tc>
          <w:tcPr>
            <w:tcW w:w="1559" w:type="dxa"/>
            <w:tcBorders>
              <w:bottom w:val="single" w:sz="12" w:space="0" w:color="auto"/>
            </w:tcBorders>
            <w:vAlign w:val="center"/>
          </w:tcPr>
          <w:p w:rsidR="00AB0288" w:rsidRPr="00AB0288" w:rsidRDefault="00AB0288" w:rsidP="00AB0288">
            <w:pPr>
              <w:jc w:val="center"/>
              <w:rPr>
                <w:sz w:val="18"/>
              </w:rPr>
            </w:pPr>
            <w:r w:rsidRPr="00AB0288">
              <w:rPr>
                <w:sz w:val="18"/>
              </w:rPr>
              <w:t>8 godzin</w:t>
            </w:r>
          </w:p>
        </w:tc>
        <w:tc>
          <w:tcPr>
            <w:tcW w:w="1276" w:type="dxa"/>
            <w:tcBorders>
              <w:bottom w:val="single" w:sz="12" w:space="0" w:color="auto"/>
            </w:tcBorders>
            <w:vAlign w:val="center"/>
          </w:tcPr>
          <w:p w:rsidR="00AB0288" w:rsidRPr="00AB0288" w:rsidRDefault="00AB0288" w:rsidP="00AB0288">
            <w:pPr>
              <w:jc w:val="center"/>
              <w:rPr>
                <w:sz w:val="18"/>
              </w:rPr>
            </w:pPr>
            <w:r w:rsidRPr="00AB0288">
              <w:rPr>
                <w:sz w:val="18"/>
              </w:rPr>
              <w:t>10000</w:t>
            </w:r>
          </w:p>
        </w:tc>
        <w:tc>
          <w:tcPr>
            <w:tcW w:w="1701" w:type="dxa"/>
            <w:tcBorders>
              <w:bottom w:val="single" w:sz="12" w:space="0" w:color="auto"/>
            </w:tcBorders>
            <w:vAlign w:val="center"/>
          </w:tcPr>
          <w:p w:rsidR="00AB0288" w:rsidRPr="00AB0288" w:rsidRDefault="00AB0288" w:rsidP="00AB0288">
            <w:pPr>
              <w:jc w:val="center"/>
              <w:rPr>
                <w:sz w:val="18"/>
              </w:rPr>
            </w:pPr>
            <w:r w:rsidRPr="00AB0288">
              <w:rPr>
                <w:sz w:val="18"/>
              </w:rPr>
              <w:t>10000</w:t>
            </w:r>
          </w:p>
        </w:tc>
        <w:tc>
          <w:tcPr>
            <w:tcW w:w="1769" w:type="dxa"/>
            <w:tcBorders>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w:t>
            </w:r>
          </w:p>
        </w:tc>
      </w:tr>
    </w:tbl>
    <w:p w:rsidR="00AB0288" w:rsidRPr="00AB0288" w:rsidRDefault="00AB0288" w:rsidP="00AB0288">
      <w:pPr>
        <w:spacing w:line="480" w:lineRule="auto"/>
        <w:rPr>
          <w:b/>
          <w:sz w:val="22"/>
        </w:rPr>
      </w:pPr>
    </w:p>
    <w:p w:rsidR="00AB0288" w:rsidRPr="00AB0288" w:rsidRDefault="00AB0288" w:rsidP="00AB0288">
      <w:pPr>
        <w:spacing w:line="480" w:lineRule="auto"/>
        <w:rPr>
          <w:b/>
          <w:sz w:val="22"/>
        </w:rPr>
      </w:pPr>
      <w:r w:rsidRPr="00AB0288">
        <w:rPr>
          <w:b/>
          <w:sz w:val="22"/>
        </w:rPr>
        <w:t>POZIOMY DOCELOWE</w:t>
      </w:r>
    </w:p>
    <w:tbl>
      <w:tblPr>
        <w:tblW w:w="0" w:type="auto"/>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2"/>
        <w:gridCol w:w="1701"/>
        <w:gridCol w:w="1985"/>
        <w:gridCol w:w="3599"/>
      </w:tblGrid>
      <w:tr w:rsidR="00AB0288" w:rsidRPr="00AB0288" w:rsidTr="002A5484">
        <w:trPr>
          <w:cantSplit/>
          <w:jc w:val="center"/>
        </w:trPr>
        <w:tc>
          <w:tcPr>
            <w:tcW w:w="1902"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1701"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1985"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Poziom docelowy substancji w powietrzu</w:t>
            </w:r>
          </w:p>
        </w:tc>
        <w:tc>
          <w:tcPr>
            <w:tcW w:w="3599" w:type="dxa"/>
            <w:tcBorders>
              <w:top w:val="single" w:sz="12"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Dopuszczalna częstość przekraczania poziomu docelowego w  roku kalendarzowym</w:t>
            </w:r>
          </w:p>
        </w:tc>
      </w:tr>
      <w:tr w:rsidR="00AB0288" w:rsidRPr="00AB0288" w:rsidTr="002A5484">
        <w:trPr>
          <w:cantSplit/>
          <w:jc w:val="center"/>
        </w:trPr>
        <w:tc>
          <w:tcPr>
            <w:tcW w:w="1902" w:type="dxa"/>
            <w:tcBorders>
              <w:top w:val="single" w:sz="12" w:space="0" w:color="auto"/>
              <w:left w:val="single" w:sz="12" w:space="0" w:color="auto"/>
            </w:tcBorders>
            <w:vAlign w:val="center"/>
          </w:tcPr>
          <w:p w:rsidR="00AB0288" w:rsidRPr="00AB0288" w:rsidRDefault="00AB0288" w:rsidP="00AB0288">
            <w:pPr>
              <w:jc w:val="center"/>
              <w:rPr>
                <w:sz w:val="18"/>
              </w:rPr>
            </w:pPr>
            <w:r w:rsidRPr="00AB0288">
              <w:rPr>
                <w:sz w:val="18"/>
              </w:rPr>
              <w:t>Arsen</w:t>
            </w:r>
          </w:p>
        </w:tc>
        <w:tc>
          <w:tcPr>
            <w:tcW w:w="1701" w:type="dxa"/>
            <w:tcBorders>
              <w:top w:val="single" w:sz="12" w:space="0" w:color="auto"/>
            </w:tcBorders>
            <w:vAlign w:val="center"/>
          </w:tcPr>
          <w:p w:rsidR="00AB0288" w:rsidRPr="00AB0288" w:rsidRDefault="00AB0288" w:rsidP="00AB0288">
            <w:pPr>
              <w:jc w:val="center"/>
              <w:rPr>
                <w:sz w:val="18"/>
              </w:rPr>
            </w:pPr>
            <w:r w:rsidRPr="00AB0288">
              <w:rPr>
                <w:sz w:val="18"/>
              </w:rPr>
              <w:t>rok kalendarzowy</w:t>
            </w:r>
          </w:p>
        </w:tc>
        <w:tc>
          <w:tcPr>
            <w:tcW w:w="1985" w:type="dxa"/>
            <w:tcBorders>
              <w:top w:val="single" w:sz="12" w:space="0" w:color="auto"/>
            </w:tcBorders>
            <w:vAlign w:val="center"/>
          </w:tcPr>
          <w:p w:rsidR="00AB0288" w:rsidRPr="00AB0288" w:rsidRDefault="00AB0288" w:rsidP="00AB0288">
            <w:pPr>
              <w:jc w:val="center"/>
              <w:rPr>
                <w:sz w:val="18"/>
                <w:lang w:val="en-US"/>
              </w:rPr>
            </w:pPr>
            <w:r w:rsidRPr="00AB0288">
              <w:rPr>
                <w:sz w:val="18"/>
                <w:lang w:val="en-US"/>
              </w:rPr>
              <w:t>6 ng/m</w:t>
            </w:r>
            <w:r w:rsidRPr="00AB0288">
              <w:rPr>
                <w:sz w:val="18"/>
                <w:vertAlign w:val="superscript"/>
                <w:lang w:val="en-US"/>
              </w:rPr>
              <w:t>3</w:t>
            </w:r>
          </w:p>
        </w:tc>
        <w:tc>
          <w:tcPr>
            <w:tcW w:w="3599" w:type="dxa"/>
            <w:tcBorders>
              <w:top w:val="single" w:sz="12" w:space="0" w:color="auto"/>
              <w:right w:val="single" w:sz="12" w:space="0" w:color="auto"/>
            </w:tcBorders>
            <w:vAlign w:val="center"/>
          </w:tcPr>
          <w:p w:rsidR="00AB0288" w:rsidRPr="00AB0288" w:rsidRDefault="00AB0288" w:rsidP="00AB0288">
            <w:pPr>
              <w:jc w:val="center"/>
              <w:rPr>
                <w:sz w:val="18"/>
                <w:lang w:val="en-US"/>
              </w:rPr>
            </w:pPr>
            <w:r w:rsidRPr="00AB0288">
              <w:rPr>
                <w:sz w:val="18"/>
                <w:lang w:val="en-US"/>
              </w:rPr>
              <w:t>-</w:t>
            </w:r>
          </w:p>
        </w:tc>
      </w:tr>
      <w:tr w:rsidR="00AB0288" w:rsidRPr="00AB0288" w:rsidTr="002A5484">
        <w:trPr>
          <w:cantSplit/>
          <w:jc w:val="center"/>
        </w:trPr>
        <w:tc>
          <w:tcPr>
            <w:tcW w:w="1902" w:type="dxa"/>
            <w:tcBorders>
              <w:left w:val="single" w:sz="12" w:space="0" w:color="auto"/>
            </w:tcBorders>
            <w:vAlign w:val="center"/>
          </w:tcPr>
          <w:p w:rsidR="00AB0288" w:rsidRPr="00AB0288" w:rsidRDefault="00AB0288" w:rsidP="00AB0288">
            <w:pPr>
              <w:jc w:val="center"/>
              <w:rPr>
                <w:sz w:val="18"/>
                <w:lang w:val="en-US"/>
              </w:rPr>
            </w:pPr>
            <w:r w:rsidRPr="00AB0288">
              <w:rPr>
                <w:sz w:val="18"/>
                <w:lang w:val="en-US"/>
              </w:rPr>
              <w:t>Benzo(a)piren</w:t>
            </w:r>
          </w:p>
        </w:tc>
        <w:tc>
          <w:tcPr>
            <w:tcW w:w="1701" w:type="dxa"/>
            <w:vAlign w:val="center"/>
          </w:tcPr>
          <w:p w:rsidR="00AB0288" w:rsidRPr="00AB0288" w:rsidRDefault="00AB0288" w:rsidP="00AB0288">
            <w:pPr>
              <w:jc w:val="center"/>
              <w:rPr>
                <w:sz w:val="18"/>
              </w:rPr>
            </w:pPr>
            <w:r w:rsidRPr="00AB0288">
              <w:rPr>
                <w:sz w:val="18"/>
              </w:rPr>
              <w:t>rok kalendarzowy</w:t>
            </w:r>
          </w:p>
        </w:tc>
        <w:tc>
          <w:tcPr>
            <w:tcW w:w="1985" w:type="dxa"/>
            <w:vAlign w:val="center"/>
          </w:tcPr>
          <w:p w:rsidR="00AB0288" w:rsidRPr="00AB0288" w:rsidRDefault="00AB0288" w:rsidP="00AB0288">
            <w:pPr>
              <w:jc w:val="center"/>
              <w:rPr>
                <w:sz w:val="18"/>
              </w:rPr>
            </w:pPr>
            <w:r w:rsidRPr="00AB0288">
              <w:rPr>
                <w:sz w:val="18"/>
              </w:rPr>
              <w:t>1 ng/m</w:t>
            </w:r>
            <w:r w:rsidRPr="00AB0288">
              <w:rPr>
                <w:sz w:val="18"/>
                <w:vertAlign w:val="superscript"/>
              </w:rPr>
              <w:t>3</w:t>
            </w:r>
          </w:p>
        </w:tc>
        <w:tc>
          <w:tcPr>
            <w:tcW w:w="359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02" w:type="dxa"/>
            <w:tcBorders>
              <w:left w:val="single" w:sz="12" w:space="0" w:color="auto"/>
            </w:tcBorders>
            <w:vAlign w:val="center"/>
          </w:tcPr>
          <w:p w:rsidR="00AB0288" w:rsidRPr="00AB0288" w:rsidRDefault="00AB0288" w:rsidP="00AB0288">
            <w:pPr>
              <w:jc w:val="center"/>
              <w:rPr>
                <w:sz w:val="18"/>
              </w:rPr>
            </w:pPr>
            <w:r w:rsidRPr="00AB0288">
              <w:rPr>
                <w:sz w:val="18"/>
              </w:rPr>
              <w:t>Kadm</w:t>
            </w:r>
          </w:p>
        </w:tc>
        <w:tc>
          <w:tcPr>
            <w:tcW w:w="1701" w:type="dxa"/>
            <w:vAlign w:val="center"/>
          </w:tcPr>
          <w:p w:rsidR="00AB0288" w:rsidRPr="00AB0288" w:rsidRDefault="00AB0288" w:rsidP="00AB0288">
            <w:pPr>
              <w:jc w:val="center"/>
              <w:rPr>
                <w:sz w:val="18"/>
              </w:rPr>
            </w:pPr>
            <w:r w:rsidRPr="00AB0288">
              <w:rPr>
                <w:sz w:val="18"/>
              </w:rPr>
              <w:t>rok kalendarzowy</w:t>
            </w:r>
          </w:p>
        </w:tc>
        <w:tc>
          <w:tcPr>
            <w:tcW w:w="1985" w:type="dxa"/>
            <w:vAlign w:val="center"/>
          </w:tcPr>
          <w:p w:rsidR="00AB0288" w:rsidRPr="00AB0288" w:rsidRDefault="00AB0288" w:rsidP="00AB0288">
            <w:pPr>
              <w:jc w:val="center"/>
              <w:rPr>
                <w:sz w:val="18"/>
              </w:rPr>
            </w:pPr>
            <w:r w:rsidRPr="00AB0288">
              <w:rPr>
                <w:sz w:val="18"/>
              </w:rPr>
              <w:t>5 ng/m</w:t>
            </w:r>
            <w:r w:rsidRPr="00AB0288">
              <w:rPr>
                <w:sz w:val="18"/>
                <w:vertAlign w:val="superscript"/>
              </w:rPr>
              <w:t>3</w:t>
            </w:r>
          </w:p>
        </w:tc>
        <w:tc>
          <w:tcPr>
            <w:tcW w:w="359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02" w:type="dxa"/>
            <w:tcBorders>
              <w:left w:val="single" w:sz="12" w:space="0" w:color="auto"/>
            </w:tcBorders>
            <w:vAlign w:val="center"/>
          </w:tcPr>
          <w:p w:rsidR="00AB0288" w:rsidRPr="00AB0288" w:rsidRDefault="00AB0288" w:rsidP="00AB0288">
            <w:pPr>
              <w:jc w:val="center"/>
              <w:rPr>
                <w:sz w:val="18"/>
              </w:rPr>
            </w:pPr>
            <w:r w:rsidRPr="00AB0288">
              <w:rPr>
                <w:sz w:val="18"/>
              </w:rPr>
              <w:t>Nikiel</w:t>
            </w:r>
          </w:p>
        </w:tc>
        <w:tc>
          <w:tcPr>
            <w:tcW w:w="1701" w:type="dxa"/>
            <w:vAlign w:val="center"/>
          </w:tcPr>
          <w:p w:rsidR="00AB0288" w:rsidRPr="00AB0288" w:rsidRDefault="00AB0288" w:rsidP="00AB0288">
            <w:pPr>
              <w:jc w:val="center"/>
              <w:rPr>
                <w:sz w:val="18"/>
              </w:rPr>
            </w:pPr>
            <w:r w:rsidRPr="00AB0288">
              <w:rPr>
                <w:sz w:val="18"/>
              </w:rPr>
              <w:t>rok kalendarzowy</w:t>
            </w:r>
          </w:p>
        </w:tc>
        <w:tc>
          <w:tcPr>
            <w:tcW w:w="1985" w:type="dxa"/>
            <w:vAlign w:val="center"/>
          </w:tcPr>
          <w:p w:rsidR="00AB0288" w:rsidRPr="00AB0288" w:rsidRDefault="00AB0288" w:rsidP="00AB0288">
            <w:pPr>
              <w:jc w:val="center"/>
              <w:rPr>
                <w:sz w:val="18"/>
              </w:rPr>
            </w:pPr>
            <w:r w:rsidRPr="00AB0288">
              <w:rPr>
                <w:sz w:val="18"/>
              </w:rPr>
              <w:t>20 ng/m</w:t>
            </w:r>
            <w:r w:rsidRPr="00AB0288">
              <w:rPr>
                <w:sz w:val="18"/>
                <w:vertAlign w:val="superscript"/>
              </w:rPr>
              <w:t>3</w:t>
            </w:r>
          </w:p>
        </w:tc>
        <w:tc>
          <w:tcPr>
            <w:tcW w:w="3599" w:type="dxa"/>
            <w:tcBorders>
              <w:right w:val="single" w:sz="12" w:space="0" w:color="auto"/>
            </w:tcBorders>
            <w:vAlign w:val="center"/>
          </w:tcPr>
          <w:p w:rsidR="00AB0288" w:rsidRPr="00AB0288" w:rsidRDefault="00AB0288" w:rsidP="00AB0288">
            <w:pPr>
              <w:jc w:val="center"/>
              <w:rPr>
                <w:sz w:val="18"/>
              </w:rPr>
            </w:pPr>
            <w:r w:rsidRPr="00AB0288">
              <w:rPr>
                <w:sz w:val="18"/>
              </w:rPr>
              <w:t>-</w:t>
            </w:r>
          </w:p>
        </w:tc>
      </w:tr>
      <w:tr w:rsidR="00AB0288" w:rsidRPr="00AB0288" w:rsidTr="002A5484">
        <w:trPr>
          <w:cantSplit/>
          <w:jc w:val="center"/>
        </w:trPr>
        <w:tc>
          <w:tcPr>
            <w:tcW w:w="1902" w:type="dxa"/>
            <w:tcBorders>
              <w:left w:val="single" w:sz="12" w:space="0" w:color="auto"/>
            </w:tcBorders>
            <w:vAlign w:val="center"/>
          </w:tcPr>
          <w:p w:rsidR="00AB0288" w:rsidRPr="00AB0288" w:rsidRDefault="00AB0288" w:rsidP="00AB0288">
            <w:pPr>
              <w:jc w:val="center"/>
              <w:rPr>
                <w:sz w:val="18"/>
              </w:rPr>
            </w:pPr>
            <w:r w:rsidRPr="00AB0288">
              <w:rPr>
                <w:sz w:val="18"/>
              </w:rPr>
              <w:t>Ozon</w:t>
            </w:r>
          </w:p>
        </w:tc>
        <w:tc>
          <w:tcPr>
            <w:tcW w:w="1701" w:type="dxa"/>
            <w:vAlign w:val="center"/>
          </w:tcPr>
          <w:p w:rsidR="00AB0288" w:rsidRPr="00AB0288" w:rsidRDefault="00AB0288" w:rsidP="00AB0288">
            <w:pPr>
              <w:jc w:val="center"/>
              <w:rPr>
                <w:sz w:val="18"/>
              </w:rPr>
            </w:pPr>
            <w:r w:rsidRPr="00AB0288">
              <w:rPr>
                <w:sz w:val="18"/>
              </w:rPr>
              <w:t>8 godzin</w:t>
            </w:r>
          </w:p>
        </w:tc>
        <w:tc>
          <w:tcPr>
            <w:tcW w:w="1985" w:type="dxa"/>
            <w:vAlign w:val="center"/>
          </w:tcPr>
          <w:p w:rsidR="00AB0288" w:rsidRPr="00AB0288" w:rsidRDefault="00AB0288" w:rsidP="00AB0288">
            <w:pPr>
              <w:jc w:val="center"/>
              <w:rPr>
                <w:sz w:val="18"/>
              </w:rPr>
            </w:pPr>
            <w:r w:rsidRPr="00AB0288">
              <w:rPr>
                <w:sz w:val="18"/>
              </w:rPr>
              <w:t>120 µg/m</w:t>
            </w:r>
            <w:r w:rsidRPr="00AB0288">
              <w:rPr>
                <w:sz w:val="18"/>
                <w:vertAlign w:val="superscript"/>
              </w:rPr>
              <w:t>3</w:t>
            </w:r>
          </w:p>
        </w:tc>
        <w:tc>
          <w:tcPr>
            <w:tcW w:w="3599" w:type="dxa"/>
            <w:tcBorders>
              <w:right w:val="single" w:sz="12" w:space="0" w:color="auto"/>
            </w:tcBorders>
            <w:vAlign w:val="center"/>
          </w:tcPr>
          <w:p w:rsidR="00AB0288" w:rsidRPr="00AB0288" w:rsidRDefault="00AB0288" w:rsidP="00AB0288">
            <w:pPr>
              <w:jc w:val="center"/>
              <w:rPr>
                <w:sz w:val="18"/>
              </w:rPr>
            </w:pPr>
            <w:r w:rsidRPr="00AB0288">
              <w:rPr>
                <w:sz w:val="18"/>
              </w:rPr>
              <w:t>25 dni</w:t>
            </w:r>
          </w:p>
        </w:tc>
      </w:tr>
      <w:tr w:rsidR="00AB0288" w:rsidRPr="00AB0288" w:rsidTr="002A5484">
        <w:trPr>
          <w:cantSplit/>
          <w:jc w:val="center"/>
        </w:trPr>
        <w:tc>
          <w:tcPr>
            <w:tcW w:w="1902" w:type="dxa"/>
            <w:tcBorders>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Pył zawieszony PM2,5</w:t>
            </w:r>
          </w:p>
        </w:tc>
        <w:tc>
          <w:tcPr>
            <w:tcW w:w="1701" w:type="dxa"/>
            <w:tcBorders>
              <w:bottom w:val="single" w:sz="12" w:space="0" w:color="auto"/>
            </w:tcBorders>
            <w:vAlign w:val="center"/>
          </w:tcPr>
          <w:p w:rsidR="00AB0288" w:rsidRPr="00AB0288" w:rsidRDefault="00AB0288" w:rsidP="00AB0288">
            <w:pPr>
              <w:jc w:val="center"/>
              <w:rPr>
                <w:sz w:val="18"/>
              </w:rPr>
            </w:pPr>
            <w:r w:rsidRPr="00AB0288">
              <w:rPr>
                <w:sz w:val="18"/>
              </w:rPr>
              <w:t>rok kalendarzowy</w:t>
            </w:r>
          </w:p>
        </w:tc>
        <w:tc>
          <w:tcPr>
            <w:tcW w:w="1985" w:type="dxa"/>
            <w:tcBorders>
              <w:bottom w:val="single" w:sz="12" w:space="0" w:color="auto"/>
            </w:tcBorders>
            <w:vAlign w:val="center"/>
          </w:tcPr>
          <w:p w:rsidR="00AB0288" w:rsidRPr="00AB0288" w:rsidRDefault="00AB0288" w:rsidP="00AB0288">
            <w:pPr>
              <w:jc w:val="center"/>
              <w:rPr>
                <w:sz w:val="18"/>
              </w:rPr>
            </w:pPr>
            <w:r w:rsidRPr="00AB0288">
              <w:rPr>
                <w:sz w:val="18"/>
              </w:rPr>
              <w:t>25 µg/m</w:t>
            </w:r>
            <w:r w:rsidRPr="00AB0288">
              <w:rPr>
                <w:sz w:val="18"/>
                <w:vertAlign w:val="superscript"/>
              </w:rPr>
              <w:t>3</w:t>
            </w:r>
          </w:p>
        </w:tc>
        <w:tc>
          <w:tcPr>
            <w:tcW w:w="3599" w:type="dxa"/>
            <w:tcBorders>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w:t>
            </w:r>
          </w:p>
        </w:tc>
      </w:tr>
    </w:tbl>
    <w:p w:rsidR="00AB0288" w:rsidRPr="00AB0288" w:rsidRDefault="00AB0288" w:rsidP="00AB0288">
      <w:pPr>
        <w:spacing w:line="480" w:lineRule="auto"/>
        <w:rPr>
          <w:b/>
          <w:sz w:val="22"/>
        </w:rPr>
      </w:pPr>
      <w:r w:rsidRPr="00AB0288">
        <w:rPr>
          <w:b/>
          <w:sz w:val="22"/>
        </w:rPr>
        <w:lastRenderedPageBreak/>
        <w:t>CEL DŁUGOTERMINOWY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544"/>
        <w:gridCol w:w="4462"/>
      </w:tblGrid>
      <w:tr w:rsidR="00AB0288" w:rsidRPr="00AB0288" w:rsidTr="002A5484">
        <w:trPr>
          <w:cantSplit/>
          <w:jc w:val="center"/>
        </w:trPr>
        <w:tc>
          <w:tcPr>
            <w:tcW w:w="1204"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3544" w:type="dxa"/>
            <w:tcBorders>
              <w:top w:val="single" w:sz="12" w:space="0" w:color="auto"/>
              <w:bottom w:val="single" w:sz="12" w:space="0" w:color="auto"/>
              <w:right w:val="single" w:sz="4"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4462" w:type="dxa"/>
            <w:tcBorders>
              <w:top w:val="single" w:sz="12" w:space="0" w:color="auto"/>
              <w:left w:val="single" w:sz="4"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Poziom celu długoterminowego substancji w powietrzu</w:t>
            </w:r>
          </w:p>
        </w:tc>
      </w:tr>
      <w:tr w:rsidR="00AB0288" w:rsidRPr="00AB0288" w:rsidTr="002A5484">
        <w:trPr>
          <w:cantSplit/>
          <w:jc w:val="center"/>
        </w:trPr>
        <w:tc>
          <w:tcPr>
            <w:tcW w:w="1204" w:type="dxa"/>
            <w:tcBorders>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Ozon</w:t>
            </w:r>
          </w:p>
        </w:tc>
        <w:tc>
          <w:tcPr>
            <w:tcW w:w="3544" w:type="dxa"/>
            <w:tcBorders>
              <w:bottom w:val="single" w:sz="12" w:space="0" w:color="auto"/>
              <w:right w:val="single" w:sz="4" w:space="0" w:color="auto"/>
            </w:tcBorders>
            <w:vAlign w:val="center"/>
          </w:tcPr>
          <w:p w:rsidR="00AB0288" w:rsidRPr="00AB0288" w:rsidRDefault="00AB0288" w:rsidP="00AB0288">
            <w:pPr>
              <w:jc w:val="center"/>
              <w:rPr>
                <w:sz w:val="18"/>
              </w:rPr>
            </w:pPr>
            <w:r w:rsidRPr="00AB0288">
              <w:rPr>
                <w:sz w:val="18"/>
              </w:rPr>
              <w:t>8 godzin</w:t>
            </w:r>
          </w:p>
        </w:tc>
        <w:tc>
          <w:tcPr>
            <w:tcW w:w="4462" w:type="dxa"/>
            <w:tcBorders>
              <w:left w:val="single" w:sz="4"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120 µg/m</w:t>
            </w:r>
            <w:r w:rsidRPr="00AB0288">
              <w:rPr>
                <w:sz w:val="18"/>
                <w:vertAlign w:val="superscript"/>
              </w:rPr>
              <w:t>3</w:t>
            </w:r>
          </w:p>
        </w:tc>
      </w:tr>
    </w:tbl>
    <w:p w:rsidR="00AB0288" w:rsidRPr="00AB0288" w:rsidRDefault="00AB0288" w:rsidP="00AB0288">
      <w:pPr>
        <w:spacing w:line="480" w:lineRule="auto"/>
        <w:rPr>
          <w:sz w:val="20"/>
        </w:rPr>
      </w:pPr>
    </w:p>
    <w:p w:rsidR="00AB0288" w:rsidRPr="00AB0288" w:rsidRDefault="00AB0288" w:rsidP="00AB0288">
      <w:pPr>
        <w:numPr>
          <w:ilvl w:val="0"/>
          <w:numId w:val="8"/>
        </w:numPr>
        <w:spacing w:after="200" w:line="276" w:lineRule="auto"/>
        <w:jc w:val="both"/>
        <w:rPr>
          <w:b/>
        </w:rPr>
      </w:pPr>
      <w:r w:rsidRPr="00AB0288">
        <w:rPr>
          <w:b/>
        </w:rPr>
        <w:t>ochrona roślin</w:t>
      </w:r>
    </w:p>
    <w:p w:rsidR="00AB0288" w:rsidRPr="00AB0288" w:rsidRDefault="00AB0288" w:rsidP="00AB0288">
      <w:pPr>
        <w:spacing w:line="480" w:lineRule="auto"/>
        <w:rPr>
          <w:b/>
          <w:sz w:val="22"/>
        </w:rPr>
      </w:pPr>
      <w:r w:rsidRPr="00AB0288">
        <w:rPr>
          <w:b/>
          <w:sz w:val="22"/>
        </w:rPr>
        <w:t>POZIOMY DOPUSZCZALNE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3895"/>
      </w:tblGrid>
      <w:tr w:rsidR="00AB0288" w:rsidRPr="00AB0288" w:rsidTr="002A5484">
        <w:trPr>
          <w:jc w:val="center"/>
        </w:trPr>
        <w:tc>
          <w:tcPr>
            <w:tcW w:w="1771"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3544"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3895" w:type="dxa"/>
            <w:tcBorders>
              <w:top w:val="single" w:sz="12"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Dopuszczalny poziom substancji w powietrzu</w:t>
            </w:r>
          </w:p>
        </w:tc>
      </w:tr>
      <w:tr w:rsidR="00AB0288" w:rsidRPr="00AB0288" w:rsidTr="002A5484">
        <w:trPr>
          <w:jc w:val="center"/>
        </w:trPr>
        <w:tc>
          <w:tcPr>
            <w:tcW w:w="1771" w:type="dxa"/>
            <w:tcBorders>
              <w:left w:val="single" w:sz="12" w:space="0" w:color="auto"/>
            </w:tcBorders>
            <w:vAlign w:val="center"/>
          </w:tcPr>
          <w:p w:rsidR="00AB0288" w:rsidRPr="00AB0288" w:rsidRDefault="00AB0288" w:rsidP="00AB0288">
            <w:pPr>
              <w:jc w:val="center"/>
              <w:rPr>
                <w:sz w:val="18"/>
              </w:rPr>
            </w:pPr>
            <w:r w:rsidRPr="00AB0288">
              <w:rPr>
                <w:sz w:val="18"/>
              </w:rPr>
              <w:t>Tlenki azotu*</w:t>
            </w:r>
          </w:p>
        </w:tc>
        <w:tc>
          <w:tcPr>
            <w:tcW w:w="3544" w:type="dxa"/>
            <w:vAlign w:val="center"/>
          </w:tcPr>
          <w:p w:rsidR="00AB0288" w:rsidRPr="00AB0288" w:rsidRDefault="00AB0288" w:rsidP="00AB0288">
            <w:pPr>
              <w:jc w:val="center"/>
              <w:rPr>
                <w:sz w:val="18"/>
              </w:rPr>
            </w:pPr>
            <w:r w:rsidRPr="00AB0288">
              <w:rPr>
                <w:sz w:val="18"/>
              </w:rPr>
              <w:t>rok kalendarzowy</w:t>
            </w:r>
          </w:p>
        </w:tc>
        <w:tc>
          <w:tcPr>
            <w:tcW w:w="3895" w:type="dxa"/>
            <w:tcBorders>
              <w:right w:val="single" w:sz="12" w:space="0" w:color="auto"/>
            </w:tcBorders>
            <w:vAlign w:val="center"/>
          </w:tcPr>
          <w:p w:rsidR="00AB0288" w:rsidRPr="00AB0288" w:rsidRDefault="00AB0288" w:rsidP="00AB0288">
            <w:pPr>
              <w:jc w:val="center"/>
              <w:rPr>
                <w:sz w:val="18"/>
              </w:rPr>
            </w:pPr>
            <w:r w:rsidRPr="00AB0288">
              <w:rPr>
                <w:sz w:val="18"/>
              </w:rPr>
              <w:t>30 µg/m</w:t>
            </w:r>
            <w:r w:rsidRPr="00AB0288">
              <w:rPr>
                <w:sz w:val="18"/>
                <w:vertAlign w:val="superscript"/>
              </w:rPr>
              <w:t>3</w:t>
            </w:r>
          </w:p>
        </w:tc>
      </w:tr>
      <w:tr w:rsidR="00AB0288" w:rsidRPr="00AB0288" w:rsidTr="002A5484">
        <w:trPr>
          <w:cantSplit/>
          <w:jc w:val="center"/>
        </w:trPr>
        <w:tc>
          <w:tcPr>
            <w:tcW w:w="1771" w:type="dxa"/>
            <w:vMerge w:val="restart"/>
            <w:tcBorders>
              <w:left w:val="single" w:sz="12" w:space="0" w:color="auto"/>
            </w:tcBorders>
            <w:vAlign w:val="center"/>
          </w:tcPr>
          <w:p w:rsidR="00AB0288" w:rsidRPr="00AB0288" w:rsidRDefault="00AB0288" w:rsidP="00AB0288">
            <w:pPr>
              <w:jc w:val="center"/>
              <w:rPr>
                <w:sz w:val="18"/>
              </w:rPr>
            </w:pPr>
            <w:r w:rsidRPr="00AB0288">
              <w:rPr>
                <w:sz w:val="18"/>
              </w:rPr>
              <w:t>Dwutlenek siarki</w:t>
            </w:r>
          </w:p>
        </w:tc>
        <w:tc>
          <w:tcPr>
            <w:tcW w:w="3544" w:type="dxa"/>
            <w:vAlign w:val="center"/>
          </w:tcPr>
          <w:p w:rsidR="00AB0288" w:rsidRPr="00AB0288" w:rsidRDefault="00AB0288" w:rsidP="00AB0288">
            <w:pPr>
              <w:jc w:val="center"/>
              <w:rPr>
                <w:sz w:val="18"/>
              </w:rPr>
            </w:pPr>
            <w:r w:rsidRPr="00AB0288">
              <w:rPr>
                <w:sz w:val="18"/>
              </w:rPr>
              <w:t>rok kalendarzowy</w:t>
            </w:r>
          </w:p>
        </w:tc>
        <w:tc>
          <w:tcPr>
            <w:tcW w:w="3895" w:type="dxa"/>
            <w:vMerge w:val="restart"/>
            <w:tcBorders>
              <w:right w:val="single" w:sz="12" w:space="0" w:color="auto"/>
            </w:tcBorders>
            <w:vAlign w:val="center"/>
          </w:tcPr>
          <w:p w:rsidR="00AB0288" w:rsidRPr="00AB0288" w:rsidRDefault="00AB0288" w:rsidP="00AB0288">
            <w:pPr>
              <w:jc w:val="center"/>
              <w:rPr>
                <w:sz w:val="18"/>
              </w:rPr>
            </w:pPr>
            <w:r w:rsidRPr="00AB0288">
              <w:rPr>
                <w:sz w:val="18"/>
              </w:rPr>
              <w:t>20 µg/m</w:t>
            </w:r>
            <w:r w:rsidRPr="00AB0288">
              <w:rPr>
                <w:sz w:val="18"/>
                <w:vertAlign w:val="superscript"/>
              </w:rPr>
              <w:t>3</w:t>
            </w:r>
          </w:p>
        </w:tc>
      </w:tr>
      <w:tr w:rsidR="00AB0288" w:rsidRPr="00AB0288" w:rsidTr="002A5484">
        <w:trPr>
          <w:cantSplit/>
          <w:jc w:val="center"/>
        </w:trPr>
        <w:tc>
          <w:tcPr>
            <w:tcW w:w="1771" w:type="dxa"/>
            <w:vMerge/>
            <w:tcBorders>
              <w:left w:val="single" w:sz="12" w:space="0" w:color="auto"/>
              <w:bottom w:val="single" w:sz="12" w:space="0" w:color="auto"/>
            </w:tcBorders>
            <w:vAlign w:val="center"/>
          </w:tcPr>
          <w:p w:rsidR="00AB0288" w:rsidRPr="00AB0288" w:rsidRDefault="00AB0288" w:rsidP="00AB0288">
            <w:pPr>
              <w:jc w:val="center"/>
              <w:rPr>
                <w:sz w:val="18"/>
              </w:rPr>
            </w:pPr>
          </w:p>
        </w:tc>
        <w:tc>
          <w:tcPr>
            <w:tcW w:w="3544" w:type="dxa"/>
            <w:tcBorders>
              <w:bottom w:val="single" w:sz="12" w:space="0" w:color="auto"/>
            </w:tcBorders>
            <w:vAlign w:val="center"/>
          </w:tcPr>
          <w:p w:rsidR="00AB0288" w:rsidRPr="00AB0288" w:rsidRDefault="00AB0288" w:rsidP="00AB0288">
            <w:pPr>
              <w:jc w:val="center"/>
              <w:rPr>
                <w:sz w:val="18"/>
              </w:rPr>
            </w:pPr>
            <w:r w:rsidRPr="00AB0288">
              <w:rPr>
                <w:sz w:val="18"/>
              </w:rPr>
              <w:t>pora zimowa</w:t>
            </w:r>
          </w:p>
          <w:p w:rsidR="00AB0288" w:rsidRPr="00AB0288" w:rsidRDefault="00AB0288" w:rsidP="00AB0288">
            <w:pPr>
              <w:jc w:val="center"/>
              <w:rPr>
                <w:sz w:val="18"/>
              </w:rPr>
            </w:pPr>
            <w:r w:rsidRPr="00AB0288">
              <w:rPr>
                <w:sz w:val="18"/>
              </w:rPr>
              <w:t>(okres od 1 X  do 31 III )</w:t>
            </w:r>
          </w:p>
        </w:tc>
        <w:tc>
          <w:tcPr>
            <w:tcW w:w="3895" w:type="dxa"/>
            <w:vMerge/>
            <w:tcBorders>
              <w:bottom w:val="single" w:sz="12" w:space="0" w:color="auto"/>
              <w:right w:val="single" w:sz="12" w:space="0" w:color="auto"/>
            </w:tcBorders>
            <w:vAlign w:val="center"/>
          </w:tcPr>
          <w:p w:rsidR="00AB0288" w:rsidRPr="00AB0288" w:rsidRDefault="00AB0288" w:rsidP="00AB0288">
            <w:pPr>
              <w:jc w:val="center"/>
              <w:rPr>
                <w:sz w:val="18"/>
              </w:rPr>
            </w:pPr>
          </w:p>
        </w:tc>
      </w:tr>
    </w:tbl>
    <w:p w:rsidR="00AB0288" w:rsidRPr="00AB0288" w:rsidRDefault="00AB0288" w:rsidP="00AB0288">
      <w:pPr>
        <w:spacing w:line="480" w:lineRule="auto"/>
        <w:rPr>
          <w:sz w:val="18"/>
        </w:rPr>
      </w:pPr>
      <w:r w:rsidRPr="00AB0288">
        <w:rPr>
          <w:sz w:val="18"/>
        </w:rPr>
        <w:t>* - suma dwutlenku azotu i tlenku azotu w przeliczeniu na dwutlenek azotu</w:t>
      </w:r>
    </w:p>
    <w:p w:rsidR="00AB0288" w:rsidRPr="00AB0288" w:rsidRDefault="00AB0288" w:rsidP="00AB0288">
      <w:pPr>
        <w:jc w:val="both"/>
      </w:pPr>
    </w:p>
    <w:p w:rsidR="00AB0288" w:rsidRPr="00AB0288" w:rsidRDefault="00AB0288" w:rsidP="00AB0288">
      <w:pPr>
        <w:spacing w:line="480" w:lineRule="auto"/>
        <w:rPr>
          <w:b/>
          <w:sz w:val="22"/>
        </w:rPr>
      </w:pPr>
      <w:r w:rsidRPr="00AB0288">
        <w:rPr>
          <w:b/>
          <w:sz w:val="22"/>
        </w:rPr>
        <w:t>POZIOM DOCELOWY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4320"/>
      </w:tblGrid>
      <w:tr w:rsidR="00AB0288" w:rsidRPr="00AB0288" w:rsidTr="002A5484">
        <w:trPr>
          <w:cantSplit/>
          <w:jc w:val="center"/>
        </w:trPr>
        <w:tc>
          <w:tcPr>
            <w:tcW w:w="1488"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3402"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4320" w:type="dxa"/>
            <w:tcBorders>
              <w:top w:val="single" w:sz="12"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Poziom docelowy substancji w powietrzu</w:t>
            </w:r>
          </w:p>
        </w:tc>
      </w:tr>
      <w:tr w:rsidR="00AB0288" w:rsidRPr="00AB0288" w:rsidTr="002A5484">
        <w:trPr>
          <w:cantSplit/>
          <w:jc w:val="center"/>
        </w:trPr>
        <w:tc>
          <w:tcPr>
            <w:tcW w:w="1488" w:type="dxa"/>
            <w:tcBorders>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Ozon</w:t>
            </w:r>
          </w:p>
        </w:tc>
        <w:tc>
          <w:tcPr>
            <w:tcW w:w="3402" w:type="dxa"/>
            <w:tcBorders>
              <w:bottom w:val="single" w:sz="12" w:space="0" w:color="auto"/>
            </w:tcBorders>
            <w:vAlign w:val="center"/>
          </w:tcPr>
          <w:p w:rsidR="00AB0288" w:rsidRPr="00AB0288" w:rsidRDefault="00AB0288" w:rsidP="00AB0288">
            <w:pPr>
              <w:jc w:val="center"/>
              <w:rPr>
                <w:sz w:val="18"/>
              </w:rPr>
            </w:pPr>
            <w:r w:rsidRPr="00AB0288">
              <w:rPr>
                <w:sz w:val="18"/>
              </w:rPr>
              <w:t>okres wegetacyjny (1.V-31.VII)</w:t>
            </w:r>
          </w:p>
        </w:tc>
        <w:tc>
          <w:tcPr>
            <w:tcW w:w="4320" w:type="dxa"/>
            <w:tcBorders>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18000 µg/m</w:t>
            </w:r>
            <w:r w:rsidRPr="00AB0288">
              <w:rPr>
                <w:sz w:val="18"/>
                <w:vertAlign w:val="superscript"/>
              </w:rPr>
              <w:t>3 .</w:t>
            </w:r>
            <w:r w:rsidRPr="00AB0288">
              <w:rPr>
                <w:sz w:val="18"/>
              </w:rPr>
              <w:t xml:space="preserve"> h </w:t>
            </w:r>
          </w:p>
        </w:tc>
      </w:tr>
    </w:tbl>
    <w:p w:rsidR="00AB0288" w:rsidRPr="00AB0288" w:rsidRDefault="00AB0288" w:rsidP="00AB0288">
      <w:pPr>
        <w:spacing w:line="480" w:lineRule="auto"/>
        <w:rPr>
          <w:b/>
          <w:sz w:val="22"/>
        </w:rPr>
      </w:pPr>
    </w:p>
    <w:p w:rsidR="00AB0288" w:rsidRPr="00AB0288" w:rsidRDefault="00AB0288" w:rsidP="00AB0288">
      <w:pPr>
        <w:spacing w:line="480" w:lineRule="auto"/>
        <w:rPr>
          <w:b/>
          <w:sz w:val="22"/>
        </w:rPr>
      </w:pPr>
      <w:r w:rsidRPr="00AB0288">
        <w:rPr>
          <w:b/>
          <w:sz w:val="22"/>
        </w:rPr>
        <w:t>POZIOM CELU DŁUGOTERMINOWEGO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3355"/>
        <w:gridCol w:w="4320"/>
      </w:tblGrid>
      <w:tr w:rsidR="00AB0288" w:rsidRPr="00AB0288" w:rsidTr="002A5484">
        <w:trPr>
          <w:cantSplit/>
          <w:jc w:val="center"/>
        </w:trPr>
        <w:tc>
          <w:tcPr>
            <w:tcW w:w="1535" w:type="dxa"/>
            <w:tcBorders>
              <w:top w:val="single" w:sz="12" w:space="0" w:color="auto"/>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Substancja</w:t>
            </w:r>
          </w:p>
        </w:tc>
        <w:tc>
          <w:tcPr>
            <w:tcW w:w="3355" w:type="dxa"/>
            <w:tcBorders>
              <w:top w:val="single" w:sz="12" w:space="0" w:color="auto"/>
              <w:bottom w:val="single" w:sz="12" w:space="0" w:color="auto"/>
            </w:tcBorders>
            <w:vAlign w:val="center"/>
          </w:tcPr>
          <w:p w:rsidR="00AB0288" w:rsidRPr="00AB0288" w:rsidRDefault="00AB0288" w:rsidP="00AB0288">
            <w:pPr>
              <w:jc w:val="center"/>
              <w:rPr>
                <w:sz w:val="18"/>
              </w:rPr>
            </w:pPr>
            <w:r w:rsidRPr="00AB0288">
              <w:rPr>
                <w:sz w:val="18"/>
              </w:rPr>
              <w:t>Okres uśredniania wyników pomiarów</w:t>
            </w:r>
          </w:p>
        </w:tc>
        <w:tc>
          <w:tcPr>
            <w:tcW w:w="4320" w:type="dxa"/>
            <w:tcBorders>
              <w:top w:val="single" w:sz="12" w:space="0" w:color="auto"/>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Poziom celu długoterminowego substancji w powietrzu</w:t>
            </w:r>
          </w:p>
        </w:tc>
      </w:tr>
      <w:tr w:rsidR="00AB0288" w:rsidRPr="00AB0288" w:rsidTr="002A5484">
        <w:trPr>
          <w:cantSplit/>
          <w:jc w:val="center"/>
        </w:trPr>
        <w:tc>
          <w:tcPr>
            <w:tcW w:w="1535" w:type="dxa"/>
            <w:tcBorders>
              <w:left w:val="single" w:sz="12" w:space="0" w:color="auto"/>
              <w:bottom w:val="single" w:sz="12" w:space="0" w:color="auto"/>
            </w:tcBorders>
            <w:vAlign w:val="center"/>
          </w:tcPr>
          <w:p w:rsidR="00AB0288" w:rsidRPr="00AB0288" w:rsidRDefault="00AB0288" w:rsidP="00AB0288">
            <w:pPr>
              <w:jc w:val="center"/>
              <w:rPr>
                <w:sz w:val="18"/>
              </w:rPr>
            </w:pPr>
            <w:r w:rsidRPr="00AB0288">
              <w:rPr>
                <w:sz w:val="18"/>
              </w:rPr>
              <w:t>Ozon</w:t>
            </w:r>
          </w:p>
        </w:tc>
        <w:tc>
          <w:tcPr>
            <w:tcW w:w="3355" w:type="dxa"/>
            <w:tcBorders>
              <w:bottom w:val="single" w:sz="12" w:space="0" w:color="auto"/>
            </w:tcBorders>
            <w:vAlign w:val="center"/>
          </w:tcPr>
          <w:p w:rsidR="00AB0288" w:rsidRPr="00AB0288" w:rsidRDefault="00AB0288" w:rsidP="00AB0288">
            <w:pPr>
              <w:jc w:val="center"/>
              <w:rPr>
                <w:sz w:val="18"/>
              </w:rPr>
            </w:pPr>
            <w:r w:rsidRPr="00AB0288">
              <w:rPr>
                <w:sz w:val="18"/>
              </w:rPr>
              <w:t>okres wegetacyjny (1.V-31.VII)</w:t>
            </w:r>
          </w:p>
        </w:tc>
        <w:tc>
          <w:tcPr>
            <w:tcW w:w="4320" w:type="dxa"/>
            <w:tcBorders>
              <w:bottom w:val="single" w:sz="12" w:space="0" w:color="auto"/>
              <w:right w:val="single" w:sz="12" w:space="0" w:color="auto"/>
            </w:tcBorders>
            <w:vAlign w:val="center"/>
          </w:tcPr>
          <w:p w:rsidR="00AB0288" w:rsidRPr="00AB0288" w:rsidRDefault="00AB0288" w:rsidP="00AB0288">
            <w:pPr>
              <w:jc w:val="center"/>
              <w:rPr>
                <w:sz w:val="18"/>
              </w:rPr>
            </w:pPr>
            <w:r w:rsidRPr="00AB0288">
              <w:rPr>
                <w:sz w:val="18"/>
              </w:rPr>
              <w:t>6000 µg/m</w:t>
            </w:r>
            <w:r w:rsidRPr="00AB0288">
              <w:rPr>
                <w:sz w:val="18"/>
                <w:vertAlign w:val="superscript"/>
              </w:rPr>
              <w:t>3 .</w:t>
            </w:r>
            <w:r w:rsidRPr="00AB0288">
              <w:rPr>
                <w:sz w:val="18"/>
              </w:rPr>
              <w:t xml:space="preserve"> h </w:t>
            </w:r>
          </w:p>
        </w:tc>
      </w:tr>
    </w:tbl>
    <w:p w:rsidR="00AB0288" w:rsidRPr="00AB0288" w:rsidRDefault="00AB0288" w:rsidP="00AB0288">
      <w:pPr>
        <w:jc w:val="both"/>
      </w:pPr>
    </w:p>
    <w:p w:rsidR="00AB0288" w:rsidRPr="00AB0288" w:rsidRDefault="00AB0288" w:rsidP="00AB0288">
      <w:pPr>
        <w:tabs>
          <w:tab w:val="left" w:pos="1050"/>
        </w:tabs>
        <w:spacing w:line="360" w:lineRule="auto"/>
        <w:jc w:val="both"/>
      </w:pPr>
      <w:r w:rsidRPr="00AB0288">
        <w:rPr>
          <w:b/>
          <w:bCs/>
        </w:rPr>
        <w:t>Wynikowa klasyfikacja powiatu włocławskiego.</w:t>
      </w:r>
    </w:p>
    <w:p w:rsidR="00AB0288" w:rsidRPr="00AB0288" w:rsidRDefault="00AB0288" w:rsidP="00AB0288">
      <w:pPr>
        <w:tabs>
          <w:tab w:val="left" w:pos="1080"/>
        </w:tabs>
        <w:spacing w:line="360" w:lineRule="auto"/>
        <w:jc w:val="both"/>
      </w:pPr>
      <w:r w:rsidRPr="00AB0288">
        <w:t>Oceny jakości powietrza dokonuje się na podstawie wartości dopuszczalnych poziomów substancji zanieczyszczających rozróżniając te poziomy ze względu na:</w:t>
      </w:r>
    </w:p>
    <w:p w:rsidR="00AB0288" w:rsidRPr="00AB0288" w:rsidRDefault="00AB0288" w:rsidP="00AB0288">
      <w:pPr>
        <w:numPr>
          <w:ilvl w:val="1"/>
          <w:numId w:val="5"/>
        </w:numPr>
        <w:tabs>
          <w:tab w:val="left" w:pos="1080"/>
        </w:tabs>
        <w:spacing w:line="360" w:lineRule="auto"/>
        <w:jc w:val="both"/>
      </w:pPr>
      <w:r w:rsidRPr="00AB0288">
        <w:t>ochronę zdrowia ludzi – dla terenu kraju i obszarów ochrony uzdrowiskowej,</w:t>
      </w:r>
    </w:p>
    <w:p w:rsidR="00AB0288" w:rsidRPr="00AB0288" w:rsidRDefault="00AB0288" w:rsidP="00AB0288">
      <w:pPr>
        <w:numPr>
          <w:ilvl w:val="1"/>
          <w:numId w:val="5"/>
        </w:numPr>
        <w:tabs>
          <w:tab w:val="left" w:pos="1080"/>
        </w:tabs>
        <w:spacing w:line="360" w:lineRule="auto"/>
        <w:jc w:val="both"/>
      </w:pPr>
      <w:r w:rsidRPr="00AB0288">
        <w:t>ochronę roślin – dla terenu kraju i obszarów parków narodowych.</w:t>
      </w:r>
    </w:p>
    <w:p w:rsidR="00AB0288" w:rsidRPr="00AB0288" w:rsidRDefault="00AB0288" w:rsidP="00AB0288">
      <w:pPr>
        <w:tabs>
          <w:tab w:val="left" w:pos="1080"/>
        </w:tabs>
        <w:spacing w:line="360" w:lineRule="auto"/>
        <w:jc w:val="both"/>
      </w:pPr>
      <w:r w:rsidRPr="00AB0288">
        <w:t xml:space="preserve">Dla oceny jakości powietrza na terenie strefy kujawsko-pomorskiej (w tym również powiatu </w:t>
      </w:r>
      <w:r w:rsidRPr="00AB0288">
        <w:rPr>
          <w:color w:val="000000" w:themeColor="text1"/>
        </w:rPr>
        <w:t>włocławskiego</w:t>
      </w:r>
      <w:r w:rsidRPr="00AB0288">
        <w:t>) wykorzystano:</w:t>
      </w:r>
    </w:p>
    <w:p w:rsidR="00AB0288" w:rsidRPr="00AB0288" w:rsidRDefault="00AB0288" w:rsidP="00AB0288">
      <w:pPr>
        <w:numPr>
          <w:ilvl w:val="1"/>
          <w:numId w:val="5"/>
        </w:numPr>
        <w:tabs>
          <w:tab w:val="left" w:pos="1080"/>
        </w:tabs>
        <w:spacing w:line="360" w:lineRule="auto"/>
        <w:jc w:val="both"/>
      </w:pPr>
      <w:r w:rsidRPr="00AB0288">
        <w:t xml:space="preserve">wyniki pomiarów wykonywanych na całym obszarze powiatu w 2015 roku, </w:t>
      </w:r>
    </w:p>
    <w:p w:rsidR="00AB0288" w:rsidRPr="00AB0288" w:rsidRDefault="00AB0288" w:rsidP="00AB0288">
      <w:pPr>
        <w:numPr>
          <w:ilvl w:val="1"/>
          <w:numId w:val="5"/>
        </w:numPr>
        <w:tabs>
          <w:tab w:val="left" w:pos="1080"/>
        </w:tabs>
        <w:spacing w:line="360" w:lineRule="auto"/>
        <w:jc w:val="both"/>
      </w:pPr>
      <w:r w:rsidRPr="00AB0288">
        <w:t>wyniki pomiarów wykonywanych w innych obszarach.</w:t>
      </w:r>
    </w:p>
    <w:p w:rsidR="00AB0288" w:rsidRPr="00AB0288" w:rsidRDefault="00AB0288" w:rsidP="00AB0288">
      <w:pPr>
        <w:tabs>
          <w:tab w:val="left" w:pos="1080"/>
        </w:tabs>
        <w:spacing w:line="360" w:lineRule="auto"/>
        <w:jc w:val="both"/>
      </w:pPr>
      <w:r w:rsidRPr="00AB0288">
        <w:t>Poniżej przedstawiono klasyfikację wynikową ze względu na ochronę zdrowia ludzi. Ocenę wykonano dla zanieczyszczeń: dwutlenki siarki SO</w:t>
      </w:r>
      <w:r w:rsidRPr="00AB0288">
        <w:rPr>
          <w:vertAlign w:val="subscript"/>
        </w:rPr>
        <w:t>2</w:t>
      </w:r>
      <w:r w:rsidRPr="00AB0288">
        <w:t>, dwutlenek azotu – NO</w:t>
      </w:r>
      <w:r w:rsidRPr="00AB0288">
        <w:rPr>
          <w:vertAlign w:val="subscript"/>
        </w:rPr>
        <w:t>2</w:t>
      </w:r>
      <w:r w:rsidRPr="00AB0288">
        <w:t>, benzen – C</w:t>
      </w:r>
      <w:r w:rsidRPr="00AB0288">
        <w:rPr>
          <w:vertAlign w:val="subscript"/>
        </w:rPr>
        <w:t>6</w:t>
      </w:r>
      <w:r w:rsidRPr="00AB0288">
        <w:t>H</w:t>
      </w:r>
      <w:r w:rsidRPr="00AB0288">
        <w:rPr>
          <w:vertAlign w:val="subscript"/>
        </w:rPr>
        <w:t>6</w:t>
      </w:r>
      <w:r w:rsidRPr="00AB0288">
        <w:t>, pył zawieszony – PM10, benzo(a)piren –B(a)P, ołów – Pb, arsen – As, kadm – Cd, nikiel – Ni, tlenek węgla – CO oraz ozon – O</w:t>
      </w:r>
      <w:r w:rsidRPr="00AB0288">
        <w:rPr>
          <w:vertAlign w:val="subscript"/>
        </w:rPr>
        <w:t>3</w:t>
      </w:r>
      <w:r w:rsidRPr="00AB0288">
        <w:t xml:space="preserve"> dla poziomu docelowego i długoterminowego.</w:t>
      </w:r>
    </w:p>
    <w:p w:rsidR="00AB0288" w:rsidRPr="00AB0288" w:rsidRDefault="00AB0288" w:rsidP="00AB0288">
      <w:pPr>
        <w:spacing w:line="360" w:lineRule="auto"/>
        <w:ind w:firstLine="360"/>
        <w:jc w:val="both"/>
        <w:rPr>
          <w:bCs/>
        </w:rPr>
      </w:pPr>
      <w:r w:rsidRPr="00AB0288">
        <w:rPr>
          <w:bCs/>
        </w:rPr>
        <w:t xml:space="preserve">W 2015 roku na terenie powiatu włocławskiego prowadzono pomiary dwutlenku siarki </w:t>
      </w:r>
      <w:r w:rsidRPr="00AB0288">
        <w:rPr>
          <w:bCs/>
        </w:rPr>
        <w:br/>
        <w:t>i dwutlenku azotu metoda pasywną w 4 punktach.</w:t>
      </w:r>
    </w:p>
    <w:p w:rsidR="00AB0288" w:rsidRDefault="00AB0288">
      <w:pPr>
        <w:spacing w:after="200" w:line="276" w:lineRule="auto"/>
        <w:rPr>
          <w:i/>
        </w:rPr>
      </w:pPr>
      <w:r>
        <w:rPr>
          <w:i/>
        </w:rPr>
        <w:br w:type="page"/>
      </w:r>
    </w:p>
    <w:p w:rsidR="00AB0288" w:rsidRPr="00AB0288" w:rsidRDefault="00AB0288" w:rsidP="00AB0288">
      <w:pPr>
        <w:spacing w:line="360" w:lineRule="auto"/>
        <w:ind w:left="360"/>
        <w:rPr>
          <w:i/>
        </w:rPr>
      </w:pPr>
      <w:r w:rsidRPr="00AB0288">
        <w:rPr>
          <w:i/>
        </w:rPr>
        <w:lastRenderedPageBreak/>
        <w:t>Tabela: Stężenia dwutlenku siarki SO</w:t>
      </w:r>
      <w:r w:rsidRPr="00AB0288">
        <w:rPr>
          <w:i/>
          <w:vertAlign w:val="subscript"/>
        </w:rPr>
        <w:t xml:space="preserve">2 </w:t>
      </w:r>
      <w:r w:rsidRPr="00AB0288">
        <w:rPr>
          <w:i/>
        </w:rPr>
        <w:t>w 2015roku (µg/m</w:t>
      </w:r>
      <w:r w:rsidRPr="00AB0288">
        <w:rPr>
          <w:i/>
          <w:vertAlign w:val="superscript"/>
        </w:rPr>
        <w:t>3</w:t>
      </w:r>
      <w:r w:rsidRPr="00AB0288">
        <w:rPr>
          <w:i/>
        </w:rPr>
        <w:t>)-metoda pasywna</w:t>
      </w:r>
    </w:p>
    <w:tbl>
      <w:tblPr>
        <w:tblW w:w="9592" w:type="dxa"/>
        <w:tblInd w:w="65" w:type="dxa"/>
        <w:tblCellMar>
          <w:left w:w="70" w:type="dxa"/>
          <w:right w:w="70" w:type="dxa"/>
        </w:tblCellMar>
        <w:tblLook w:val="04A0" w:firstRow="1" w:lastRow="0" w:firstColumn="1" w:lastColumn="0" w:noHBand="0" w:noVBand="1"/>
      </w:tblPr>
      <w:tblGrid>
        <w:gridCol w:w="3124"/>
        <w:gridCol w:w="539"/>
        <w:gridCol w:w="539"/>
        <w:gridCol w:w="539"/>
        <w:gridCol w:w="539"/>
        <w:gridCol w:w="539"/>
        <w:gridCol w:w="539"/>
        <w:gridCol w:w="539"/>
        <w:gridCol w:w="539"/>
        <w:gridCol w:w="539"/>
        <w:gridCol w:w="539"/>
        <w:gridCol w:w="539"/>
        <w:gridCol w:w="539"/>
      </w:tblGrid>
      <w:tr w:rsidR="00AB0288" w:rsidRPr="00AB0288" w:rsidTr="00AB0288">
        <w:trPr>
          <w:trHeight w:val="264"/>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b/>
                <w:sz w:val="20"/>
                <w:szCs w:val="20"/>
              </w:rPr>
            </w:pPr>
            <w:r w:rsidRPr="00AB0288">
              <w:rPr>
                <w:b/>
                <w:sz w:val="20"/>
                <w:szCs w:val="20"/>
              </w:rPr>
              <w:t>Nazwa stacji</w:t>
            </w:r>
          </w:p>
        </w:tc>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IV</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IX</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XI</w:t>
            </w:r>
          </w:p>
        </w:tc>
        <w:tc>
          <w:tcPr>
            <w:tcW w:w="539" w:type="dxa"/>
            <w:tcBorders>
              <w:top w:val="single" w:sz="4" w:space="0" w:color="auto"/>
              <w:left w:val="nil"/>
              <w:bottom w:val="single" w:sz="4" w:space="0" w:color="auto"/>
              <w:right w:val="single" w:sz="8"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XII</w:t>
            </w:r>
          </w:p>
        </w:tc>
      </w:tr>
      <w:tr w:rsidR="00AB0288" w:rsidRPr="00AB0288" w:rsidTr="00AB0288">
        <w:trPr>
          <w:trHeight w:val="264"/>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Izbica Kujawska</w:t>
            </w:r>
          </w:p>
        </w:tc>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27,6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19,4</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5,6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1,3</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4,4</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4,1</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12,2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15,0</w:t>
            </w:r>
          </w:p>
        </w:tc>
        <w:tc>
          <w:tcPr>
            <w:tcW w:w="539" w:type="dxa"/>
            <w:tcBorders>
              <w:top w:val="single" w:sz="4" w:space="0" w:color="auto"/>
              <w:left w:val="nil"/>
              <w:bottom w:val="single" w:sz="4" w:space="0" w:color="auto"/>
              <w:right w:val="single" w:sz="8"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31,7</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Chodecz</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15,6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44,3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23,5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13,8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18,3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30,2</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Lubraniec</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22,3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36,2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24,0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5,3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27,0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32,7</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Gąbinek</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8,5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9,6</w:t>
            </w:r>
          </w:p>
        </w:tc>
      </w:tr>
    </w:tbl>
    <w:p w:rsidR="00AB0288" w:rsidRPr="00AB0288" w:rsidRDefault="00AB0288" w:rsidP="00AB0288">
      <w:pPr>
        <w:spacing w:line="360" w:lineRule="auto"/>
        <w:jc w:val="both"/>
      </w:pPr>
    </w:p>
    <w:tbl>
      <w:tblPr>
        <w:tblW w:w="8258" w:type="dxa"/>
        <w:tblInd w:w="815" w:type="dxa"/>
        <w:tblCellMar>
          <w:left w:w="70" w:type="dxa"/>
          <w:right w:w="70" w:type="dxa"/>
        </w:tblCellMar>
        <w:tblLook w:val="04A0" w:firstRow="1" w:lastRow="0" w:firstColumn="1" w:lastColumn="0" w:noHBand="0" w:noVBand="1"/>
      </w:tblPr>
      <w:tblGrid>
        <w:gridCol w:w="3469"/>
        <w:gridCol w:w="598"/>
        <w:gridCol w:w="598"/>
        <w:gridCol w:w="598"/>
        <w:gridCol w:w="599"/>
        <w:gridCol w:w="599"/>
        <w:gridCol w:w="599"/>
        <w:gridCol w:w="599"/>
        <w:gridCol w:w="599"/>
      </w:tblGrid>
      <w:tr w:rsidR="00AB0288" w:rsidRPr="00AB0288" w:rsidTr="002A5484">
        <w:trPr>
          <w:trHeight w:val="1800"/>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b/>
                <w:sz w:val="20"/>
                <w:szCs w:val="20"/>
              </w:rPr>
              <w:t>Nazwa stacji</w:t>
            </w:r>
          </w:p>
        </w:tc>
        <w:tc>
          <w:tcPr>
            <w:tcW w:w="59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b/>
                <w:sz w:val="16"/>
                <w:szCs w:val="16"/>
              </w:rPr>
            </w:pPr>
            <w:r w:rsidRPr="00AB0288">
              <w:rPr>
                <w:b/>
                <w:sz w:val="16"/>
                <w:szCs w:val="16"/>
              </w:rPr>
              <w:t>stężenie średnie roczne SO</w:t>
            </w:r>
            <w:r w:rsidRPr="00AB0288">
              <w:rPr>
                <w:b/>
                <w:sz w:val="16"/>
                <w:szCs w:val="16"/>
                <w:vertAlign w:val="subscript"/>
              </w:rPr>
              <w:t>2</w:t>
            </w:r>
            <w:r w:rsidRPr="00AB0288">
              <w:rPr>
                <w:b/>
                <w:sz w:val="16"/>
                <w:szCs w:val="16"/>
              </w:rPr>
              <w:t xml:space="preserve"> </w:t>
            </w:r>
          </w:p>
        </w:tc>
        <w:tc>
          <w:tcPr>
            <w:tcW w:w="598"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stężenie średnie półrocza zimowego</w:t>
            </w:r>
          </w:p>
        </w:tc>
        <w:tc>
          <w:tcPr>
            <w:tcW w:w="598"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stężenie średnie półrocza letniego</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max stężenie miesięczne</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min stężenie miesięczne</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roku</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półroczu zimowym</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półroczu letnim</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B0288" w:rsidRPr="00AB0288" w:rsidRDefault="00AB0288" w:rsidP="00AB0288">
            <w:pPr>
              <w:rPr>
                <w:sz w:val="20"/>
                <w:szCs w:val="20"/>
              </w:rPr>
            </w:pPr>
            <w:r w:rsidRPr="00AB0288">
              <w:rPr>
                <w:sz w:val="20"/>
                <w:szCs w:val="20"/>
              </w:rPr>
              <w:t>Izbica Kujawska</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12,8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20,9</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4,7</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31,7</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Chodecz</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16,0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24,3</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7,6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44,3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2,4</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Lubraniec</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16,4</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26,1</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6,7</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36,2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2,0</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Gąbinek</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4,7</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6,6</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2,9</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9,6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bl>
    <w:p w:rsidR="00AB0288" w:rsidRPr="00AB0288" w:rsidRDefault="00AB0288" w:rsidP="00AB0288">
      <w:pPr>
        <w:spacing w:line="360" w:lineRule="auto"/>
        <w:jc w:val="both"/>
      </w:pPr>
    </w:p>
    <w:p w:rsidR="00AB0288" w:rsidRPr="00AB0288" w:rsidRDefault="00AB0288" w:rsidP="00AB0288">
      <w:pPr>
        <w:spacing w:line="360" w:lineRule="auto"/>
        <w:jc w:val="both"/>
        <w:rPr>
          <w:noProof/>
        </w:rPr>
      </w:pPr>
      <w:r w:rsidRPr="00AB0288">
        <w:rPr>
          <w:rFonts w:asciiTheme="minorHAnsi" w:eastAsiaTheme="minorHAnsi" w:hAnsiTheme="minorHAnsi" w:cstheme="minorBidi"/>
          <w:noProof/>
          <w:sz w:val="22"/>
          <w:szCs w:val="22"/>
        </w:rPr>
        <w:drawing>
          <wp:inline distT="0" distB="0" distL="0" distR="0" wp14:anchorId="7690D2A6" wp14:editId="2CEE1933">
            <wp:extent cx="6066846" cy="3482672"/>
            <wp:effectExtent l="0" t="0" r="29210" b="4191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288" w:rsidRPr="00AB0288" w:rsidRDefault="00AB0288" w:rsidP="00AB0288">
      <w:pPr>
        <w:spacing w:line="360" w:lineRule="auto"/>
        <w:jc w:val="both"/>
      </w:pPr>
    </w:p>
    <w:p w:rsidR="00AB0288" w:rsidRDefault="00AB0288">
      <w:pPr>
        <w:spacing w:after="200" w:line="276" w:lineRule="auto"/>
        <w:rPr>
          <w:i/>
        </w:rPr>
      </w:pPr>
      <w:r>
        <w:rPr>
          <w:i/>
        </w:rPr>
        <w:br w:type="page"/>
      </w:r>
    </w:p>
    <w:p w:rsidR="00AB0288" w:rsidRPr="00AB0288" w:rsidRDefault="00AB0288" w:rsidP="00AB0288">
      <w:pPr>
        <w:spacing w:line="360" w:lineRule="auto"/>
        <w:jc w:val="both"/>
        <w:rPr>
          <w:i/>
        </w:rPr>
      </w:pPr>
      <w:r w:rsidRPr="00AB0288">
        <w:rPr>
          <w:i/>
        </w:rPr>
        <w:lastRenderedPageBreak/>
        <w:t>Tabela: Stężenia dwutlenku azotu w 2015 roku (µg/m</w:t>
      </w:r>
      <w:r w:rsidRPr="00AB0288">
        <w:rPr>
          <w:i/>
          <w:vertAlign w:val="superscript"/>
        </w:rPr>
        <w:t>3</w:t>
      </w:r>
      <w:r w:rsidRPr="00AB0288">
        <w:rPr>
          <w:i/>
        </w:rPr>
        <w:t>)-metoda pasywna</w:t>
      </w:r>
    </w:p>
    <w:tbl>
      <w:tblPr>
        <w:tblW w:w="9592" w:type="dxa"/>
        <w:tblInd w:w="65" w:type="dxa"/>
        <w:tblCellMar>
          <w:left w:w="70" w:type="dxa"/>
          <w:right w:w="70" w:type="dxa"/>
        </w:tblCellMar>
        <w:tblLook w:val="04A0" w:firstRow="1" w:lastRow="0" w:firstColumn="1" w:lastColumn="0" w:noHBand="0" w:noVBand="1"/>
      </w:tblPr>
      <w:tblGrid>
        <w:gridCol w:w="3124"/>
        <w:gridCol w:w="539"/>
        <w:gridCol w:w="539"/>
        <w:gridCol w:w="539"/>
        <w:gridCol w:w="539"/>
        <w:gridCol w:w="539"/>
        <w:gridCol w:w="539"/>
        <w:gridCol w:w="539"/>
        <w:gridCol w:w="539"/>
        <w:gridCol w:w="539"/>
        <w:gridCol w:w="539"/>
        <w:gridCol w:w="539"/>
        <w:gridCol w:w="539"/>
      </w:tblGrid>
      <w:tr w:rsidR="00AB0288" w:rsidRPr="00AB0288" w:rsidTr="00AB0288">
        <w:trPr>
          <w:trHeight w:val="264"/>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b/>
                <w:sz w:val="20"/>
                <w:szCs w:val="20"/>
              </w:rPr>
            </w:pPr>
            <w:r w:rsidRPr="00AB0288">
              <w:rPr>
                <w:b/>
                <w:sz w:val="20"/>
                <w:szCs w:val="20"/>
              </w:rPr>
              <w:t>Nazwa stacji</w:t>
            </w:r>
          </w:p>
        </w:tc>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IV</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VIII</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IX</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XI</w:t>
            </w:r>
          </w:p>
        </w:tc>
        <w:tc>
          <w:tcPr>
            <w:tcW w:w="539" w:type="dxa"/>
            <w:tcBorders>
              <w:top w:val="single" w:sz="4" w:space="0" w:color="auto"/>
              <w:left w:val="nil"/>
              <w:bottom w:val="single" w:sz="4" w:space="0" w:color="auto"/>
              <w:right w:val="single" w:sz="8" w:space="0" w:color="auto"/>
            </w:tcBorders>
            <w:shd w:val="clear" w:color="auto" w:fill="auto"/>
            <w:noWrap/>
            <w:vAlign w:val="center"/>
          </w:tcPr>
          <w:p w:rsidR="00AB0288" w:rsidRPr="00AB0288" w:rsidRDefault="00AB0288" w:rsidP="00AB0288">
            <w:pPr>
              <w:jc w:val="center"/>
              <w:rPr>
                <w:b/>
                <w:sz w:val="20"/>
                <w:szCs w:val="20"/>
              </w:rPr>
            </w:pPr>
            <w:r w:rsidRPr="00AB0288">
              <w:rPr>
                <w:b/>
                <w:sz w:val="20"/>
                <w:szCs w:val="20"/>
              </w:rPr>
              <w:t>XII</w:t>
            </w:r>
          </w:p>
        </w:tc>
      </w:tr>
      <w:tr w:rsidR="00AB0288" w:rsidRPr="00AB0288" w:rsidTr="00AB0288">
        <w:trPr>
          <w:trHeight w:val="276"/>
        </w:trPr>
        <w:tc>
          <w:tcPr>
            <w:tcW w:w="3124" w:type="dxa"/>
            <w:tcBorders>
              <w:top w:val="nil"/>
              <w:left w:val="single" w:sz="4" w:space="0" w:color="auto"/>
              <w:bottom w:val="single" w:sz="4" w:space="0" w:color="auto"/>
              <w:right w:val="single" w:sz="4" w:space="0" w:color="auto"/>
            </w:tcBorders>
            <w:shd w:val="clear" w:color="000000" w:fill="FFCC99"/>
            <w:noWrap/>
            <w:vAlign w:val="center"/>
            <w:hideMark/>
          </w:tcPr>
          <w:p w:rsidR="00AB0288" w:rsidRPr="00AB0288" w:rsidRDefault="00AB0288" w:rsidP="00AB0288">
            <w:pPr>
              <w:rPr>
                <w:sz w:val="20"/>
                <w:szCs w:val="20"/>
              </w:rPr>
            </w:pPr>
            <w:r w:rsidRPr="00AB0288">
              <w:rPr>
                <w:sz w:val="20"/>
                <w:szCs w:val="20"/>
              </w:rPr>
              <w:t>Izbica Kujawska</w:t>
            </w:r>
          </w:p>
        </w:tc>
        <w:tc>
          <w:tcPr>
            <w:tcW w:w="539" w:type="dxa"/>
            <w:tcBorders>
              <w:top w:val="nil"/>
              <w:left w:val="single" w:sz="8"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20,0</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20,8</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14,9</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9,2</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8,9</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6,8</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6,2</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10,7</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14,8</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23,1</w:t>
            </w:r>
          </w:p>
        </w:tc>
        <w:tc>
          <w:tcPr>
            <w:tcW w:w="539" w:type="dxa"/>
            <w:tcBorders>
              <w:top w:val="nil"/>
              <w:left w:val="nil"/>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17,0</w:t>
            </w:r>
          </w:p>
        </w:tc>
        <w:tc>
          <w:tcPr>
            <w:tcW w:w="539" w:type="dxa"/>
            <w:tcBorders>
              <w:top w:val="nil"/>
              <w:left w:val="nil"/>
              <w:bottom w:val="single" w:sz="4" w:space="0" w:color="auto"/>
              <w:right w:val="single" w:sz="8"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16,6</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Chodecz</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18,2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20,7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17,1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11,5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7,6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11,7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15,3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20,1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16,4</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Lubraniec</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17,6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9,5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6,2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12,1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13,6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19,3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16,9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15,9</w:t>
            </w:r>
          </w:p>
        </w:tc>
      </w:tr>
      <w:tr w:rsidR="00AB0288" w:rsidRPr="00AB0288" w:rsidTr="00AB0288">
        <w:trPr>
          <w:trHeight w:val="276"/>
        </w:trPr>
        <w:tc>
          <w:tcPr>
            <w:tcW w:w="31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sz w:val="20"/>
                <w:szCs w:val="20"/>
              </w:rPr>
              <w:t>Gąbinek</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13,1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13,0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10,2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5,5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4,4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3,4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5,1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8,5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12,1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14,1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288" w:rsidRPr="00AB0288" w:rsidRDefault="00AB0288" w:rsidP="00AB0288">
            <w:pPr>
              <w:spacing w:after="200"/>
              <w:jc w:val="center"/>
              <w:rPr>
                <w:rFonts w:eastAsiaTheme="minorHAnsi"/>
                <w:sz w:val="20"/>
                <w:szCs w:val="20"/>
                <w:lang w:eastAsia="en-US"/>
              </w:rPr>
            </w:pPr>
            <w:r w:rsidRPr="00AB0288">
              <w:rPr>
                <w:rFonts w:eastAsiaTheme="minorHAnsi"/>
                <w:sz w:val="20"/>
                <w:szCs w:val="20"/>
                <w:lang w:eastAsia="en-US"/>
              </w:rPr>
              <w:t>12,7</w:t>
            </w:r>
          </w:p>
        </w:tc>
      </w:tr>
    </w:tbl>
    <w:p w:rsidR="00AB0288" w:rsidRPr="00AB0288" w:rsidRDefault="00AB0288" w:rsidP="00AB0288">
      <w:pPr>
        <w:spacing w:line="360" w:lineRule="auto"/>
        <w:jc w:val="both"/>
      </w:pPr>
    </w:p>
    <w:tbl>
      <w:tblPr>
        <w:tblW w:w="8258" w:type="dxa"/>
        <w:tblInd w:w="815" w:type="dxa"/>
        <w:tblCellMar>
          <w:left w:w="70" w:type="dxa"/>
          <w:right w:w="70" w:type="dxa"/>
        </w:tblCellMar>
        <w:tblLook w:val="04A0" w:firstRow="1" w:lastRow="0" w:firstColumn="1" w:lastColumn="0" w:noHBand="0" w:noVBand="1"/>
      </w:tblPr>
      <w:tblGrid>
        <w:gridCol w:w="3469"/>
        <w:gridCol w:w="598"/>
        <w:gridCol w:w="598"/>
        <w:gridCol w:w="598"/>
        <w:gridCol w:w="599"/>
        <w:gridCol w:w="599"/>
        <w:gridCol w:w="599"/>
        <w:gridCol w:w="599"/>
        <w:gridCol w:w="599"/>
      </w:tblGrid>
      <w:tr w:rsidR="00AB0288" w:rsidRPr="00AB0288" w:rsidTr="002A5484">
        <w:trPr>
          <w:trHeight w:val="1800"/>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AB0288" w:rsidRPr="00AB0288" w:rsidRDefault="00AB0288" w:rsidP="00AB0288">
            <w:pPr>
              <w:rPr>
                <w:sz w:val="20"/>
                <w:szCs w:val="20"/>
              </w:rPr>
            </w:pPr>
            <w:r w:rsidRPr="00AB0288">
              <w:rPr>
                <w:b/>
                <w:sz w:val="20"/>
                <w:szCs w:val="20"/>
              </w:rPr>
              <w:t>Nazwa stacji</w:t>
            </w:r>
          </w:p>
        </w:tc>
        <w:tc>
          <w:tcPr>
            <w:tcW w:w="59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b/>
                <w:sz w:val="16"/>
                <w:szCs w:val="16"/>
              </w:rPr>
            </w:pPr>
            <w:r w:rsidRPr="00AB0288">
              <w:rPr>
                <w:b/>
                <w:sz w:val="16"/>
                <w:szCs w:val="16"/>
              </w:rPr>
              <w:t>stężenie średnie roczne NO</w:t>
            </w:r>
            <w:r w:rsidRPr="00AB0288">
              <w:rPr>
                <w:b/>
                <w:sz w:val="16"/>
                <w:szCs w:val="16"/>
                <w:vertAlign w:val="subscript"/>
              </w:rPr>
              <w:t>2</w:t>
            </w:r>
            <w:r w:rsidRPr="00AB0288">
              <w:rPr>
                <w:b/>
                <w:sz w:val="16"/>
                <w:szCs w:val="16"/>
              </w:rPr>
              <w:t xml:space="preserve"> </w:t>
            </w:r>
          </w:p>
        </w:tc>
        <w:tc>
          <w:tcPr>
            <w:tcW w:w="598"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stężenie średnie półrocza zimowego</w:t>
            </w:r>
          </w:p>
        </w:tc>
        <w:tc>
          <w:tcPr>
            <w:tcW w:w="598"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stężenie średnie półrocza letniego</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max stężenie miesięczne</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min stężenie miesięczne</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roku</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półroczu zimowym</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tcPr>
          <w:p w:rsidR="00AB0288" w:rsidRPr="00AB0288" w:rsidRDefault="00AB0288" w:rsidP="00AB0288">
            <w:pPr>
              <w:jc w:val="center"/>
              <w:rPr>
                <w:sz w:val="16"/>
                <w:szCs w:val="16"/>
              </w:rPr>
            </w:pPr>
            <w:r w:rsidRPr="00AB0288">
              <w:rPr>
                <w:sz w:val="16"/>
                <w:szCs w:val="16"/>
              </w:rPr>
              <w:t>liczba wyników miesięcznych w półroczu letnim</w:t>
            </w:r>
          </w:p>
        </w:tc>
      </w:tr>
      <w:tr w:rsidR="00AB0288" w:rsidRPr="00AB0288" w:rsidTr="002A5484">
        <w:trPr>
          <w:trHeight w:val="276"/>
        </w:trPr>
        <w:tc>
          <w:tcPr>
            <w:tcW w:w="3469" w:type="dxa"/>
            <w:tcBorders>
              <w:top w:val="nil"/>
              <w:left w:val="single" w:sz="4" w:space="0" w:color="auto"/>
              <w:bottom w:val="single" w:sz="4" w:space="0" w:color="auto"/>
              <w:right w:val="single" w:sz="4" w:space="0" w:color="auto"/>
            </w:tcBorders>
            <w:shd w:val="clear" w:color="000000" w:fill="FFCC99"/>
            <w:noWrap/>
            <w:vAlign w:val="bottom"/>
            <w:hideMark/>
          </w:tcPr>
          <w:p w:rsidR="00AB0288" w:rsidRPr="00AB0288" w:rsidRDefault="00AB0288" w:rsidP="00AB0288">
            <w:pPr>
              <w:rPr>
                <w:sz w:val="20"/>
                <w:szCs w:val="20"/>
              </w:rPr>
            </w:pPr>
            <w:r w:rsidRPr="00AB0288">
              <w:rPr>
                <w:sz w:val="20"/>
                <w:szCs w:val="20"/>
              </w:rPr>
              <w:t>Izbica Kujawska</w:t>
            </w:r>
          </w:p>
        </w:tc>
        <w:tc>
          <w:tcPr>
            <w:tcW w:w="598" w:type="dxa"/>
            <w:tcBorders>
              <w:top w:val="nil"/>
              <w:left w:val="single" w:sz="8"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14,1</w:t>
            </w:r>
          </w:p>
        </w:tc>
        <w:tc>
          <w:tcPr>
            <w:tcW w:w="598"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18,7</w:t>
            </w:r>
          </w:p>
        </w:tc>
        <w:tc>
          <w:tcPr>
            <w:tcW w:w="598"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9,4</w:t>
            </w:r>
          </w:p>
        </w:tc>
        <w:tc>
          <w:tcPr>
            <w:tcW w:w="599"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23,1</w:t>
            </w:r>
          </w:p>
        </w:tc>
        <w:tc>
          <w:tcPr>
            <w:tcW w:w="599"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6,2</w:t>
            </w:r>
          </w:p>
        </w:tc>
        <w:tc>
          <w:tcPr>
            <w:tcW w:w="599"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nil"/>
              <w:left w:val="nil"/>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Chodecz</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14,2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18,1</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10,3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20,7</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6,5</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Lubraniec</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13,0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16,7</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9,2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19,3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r w:rsidR="00AB0288" w:rsidRPr="00AB0288" w:rsidTr="002A5484">
        <w:trPr>
          <w:trHeight w:val="276"/>
        </w:trPr>
        <w:tc>
          <w:tcPr>
            <w:tcW w:w="3469"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AB0288" w:rsidRPr="00AB0288" w:rsidRDefault="00AB0288" w:rsidP="00AB0288">
            <w:pPr>
              <w:rPr>
                <w:sz w:val="20"/>
                <w:szCs w:val="20"/>
              </w:rPr>
            </w:pPr>
            <w:r w:rsidRPr="00AB0288">
              <w:rPr>
                <w:sz w:val="20"/>
                <w:szCs w:val="20"/>
              </w:rPr>
              <w:t>Gąbinek</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b/>
                <w:bCs/>
                <w:sz w:val="20"/>
                <w:szCs w:val="20"/>
                <w:lang w:eastAsia="en-US"/>
              </w:rPr>
            </w:pPr>
            <w:r w:rsidRPr="00AB0288">
              <w:rPr>
                <w:rFonts w:eastAsiaTheme="minorHAnsi"/>
                <w:b/>
                <w:bCs/>
                <w:sz w:val="20"/>
                <w:szCs w:val="20"/>
                <w:lang w:eastAsia="en-US"/>
              </w:rPr>
              <w:t>8,9</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12,5</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5,2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14,1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3,4</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88" w:rsidRPr="00AB0288" w:rsidRDefault="00AB0288" w:rsidP="00AB0288">
            <w:pPr>
              <w:spacing w:after="200" w:line="276" w:lineRule="auto"/>
              <w:jc w:val="center"/>
              <w:rPr>
                <w:rFonts w:eastAsiaTheme="minorHAnsi"/>
                <w:sz w:val="20"/>
                <w:szCs w:val="20"/>
                <w:lang w:eastAsia="en-US"/>
              </w:rPr>
            </w:pPr>
            <w:r w:rsidRPr="00AB0288">
              <w:rPr>
                <w:rFonts w:eastAsiaTheme="minorHAnsi"/>
                <w:sz w:val="20"/>
                <w:szCs w:val="20"/>
                <w:lang w:eastAsia="en-US"/>
              </w:rPr>
              <w:t>6</w:t>
            </w:r>
          </w:p>
        </w:tc>
      </w:tr>
    </w:tbl>
    <w:p w:rsidR="00AB0288" w:rsidRPr="00AB0288" w:rsidRDefault="00AB0288" w:rsidP="00AB0288">
      <w:pPr>
        <w:spacing w:line="360" w:lineRule="auto"/>
        <w:jc w:val="both"/>
      </w:pPr>
    </w:p>
    <w:p w:rsidR="00AB0288" w:rsidRPr="00AB0288" w:rsidRDefault="00AB0288" w:rsidP="00AB0288">
      <w:pPr>
        <w:spacing w:line="360" w:lineRule="auto"/>
        <w:jc w:val="both"/>
      </w:pPr>
    </w:p>
    <w:p w:rsidR="00AB0288" w:rsidRPr="00AB0288" w:rsidRDefault="00AB0288" w:rsidP="00AB0288">
      <w:pPr>
        <w:spacing w:line="360" w:lineRule="auto"/>
        <w:jc w:val="both"/>
      </w:pPr>
      <w:r w:rsidRPr="00AB0288">
        <w:rPr>
          <w:rFonts w:asciiTheme="minorHAnsi" w:eastAsiaTheme="minorHAnsi" w:hAnsiTheme="minorHAnsi" w:cstheme="minorBidi"/>
          <w:noProof/>
          <w:sz w:val="22"/>
          <w:szCs w:val="22"/>
        </w:rPr>
        <w:drawing>
          <wp:inline distT="0" distB="0" distL="0" distR="0" wp14:anchorId="45498CC6" wp14:editId="31AA5A34">
            <wp:extent cx="6042992" cy="3554233"/>
            <wp:effectExtent l="0" t="0" r="34290" b="4635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288" w:rsidRPr="00AB0288" w:rsidRDefault="00AB0288" w:rsidP="00AB0288">
      <w:pPr>
        <w:spacing w:line="360" w:lineRule="auto"/>
        <w:jc w:val="both"/>
        <w:rPr>
          <w:b/>
          <w:bCs/>
          <w:color w:val="FF0000"/>
          <w:spacing w:val="20"/>
          <w:sz w:val="28"/>
          <w:szCs w:val="20"/>
        </w:rPr>
      </w:pPr>
    </w:p>
    <w:p w:rsidR="00AB0288" w:rsidRPr="00AB0288" w:rsidRDefault="00AB0288" w:rsidP="00AB0288">
      <w:pPr>
        <w:spacing w:line="360" w:lineRule="auto"/>
        <w:jc w:val="both"/>
      </w:pPr>
      <w:r w:rsidRPr="00AB0288">
        <w:lastRenderedPageBreak/>
        <w:t>Klasyfikacja zanieczyszczeń dokonana ze względu na ochronę zdrowia w rejonach wykonywania pomiarów jest następująca (klasy przyjęto na podstawie wyników z pomiarów wykonanych w 2015 roku dla całej strefy kujawsko-pomorskiej):</w:t>
      </w:r>
    </w:p>
    <w:p w:rsidR="00AB0288" w:rsidRPr="00AB0288" w:rsidRDefault="00AB0288" w:rsidP="00AB0288">
      <w:pPr>
        <w:numPr>
          <w:ilvl w:val="0"/>
          <w:numId w:val="6"/>
        </w:numPr>
        <w:spacing w:after="200" w:line="360" w:lineRule="auto"/>
        <w:jc w:val="both"/>
      </w:pPr>
      <w:r w:rsidRPr="00AB0288">
        <w:t>poziomy dopuszczalne:</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rPr>
                <w:szCs w:val="20"/>
              </w:rPr>
              <w:t xml:space="preserve">- dwutlenek siarki - </w:t>
            </w:r>
            <w:r w:rsidRPr="00AB0288">
              <w:rPr>
                <w:b/>
                <w:bCs/>
                <w:szCs w:val="20"/>
              </w:rPr>
              <w:t>SO</w:t>
            </w:r>
            <w:r w:rsidRPr="00AB0288">
              <w:rPr>
                <w:b/>
                <w:bCs/>
                <w:szCs w:val="20"/>
                <w:vertAlign w:val="subscript"/>
              </w:rPr>
              <w:t>2</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dwutlenek azotu - </w:t>
            </w:r>
            <w:r w:rsidRPr="00AB0288">
              <w:rPr>
                <w:b/>
                <w:bCs/>
              </w:rPr>
              <w:t>NO</w:t>
            </w:r>
            <w:r w:rsidRPr="00AB0288">
              <w:rPr>
                <w:b/>
                <w:bCs/>
                <w:vertAlign w:val="subscript"/>
              </w:rPr>
              <w:t>2</w:t>
            </w:r>
          </w:p>
        </w:tc>
        <w:tc>
          <w:tcPr>
            <w:tcW w:w="3708" w:type="dxa"/>
            <w:vAlign w:val="center"/>
          </w:tcPr>
          <w:p w:rsidR="00AB0288" w:rsidRPr="00AB0288" w:rsidRDefault="00AB0288" w:rsidP="00AB0288">
            <w:pPr>
              <w:spacing w:line="360" w:lineRule="auto"/>
              <w:jc w:val="both"/>
              <w:rPr>
                <w:b/>
                <w:bCs/>
              </w:rPr>
            </w:pPr>
            <w:r w:rsidRPr="00AB0288">
              <w:rPr>
                <w:b/>
                <w:bCs/>
              </w:rPr>
              <w:t xml:space="preserve">- klasa A, </w:t>
            </w:r>
          </w:p>
        </w:tc>
      </w:tr>
      <w:tr w:rsidR="00AB0288" w:rsidRPr="00AB0288" w:rsidTr="002A5484">
        <w:trPr>
          <w:jc w:val="center"/>
        </w:trPr>
        <w:tc>
          <w:tcPr>
            <w:tcW w:w="3096" w:type="dxa"/>
            <w:vAlign w:val="center"/>
          </w:tcPr>
          <w:p w:rsidR="00AB0288" w:rsidRPr="00AB0288" w:rsidRDefault="00AB0288" w:rsidP="00AB0288">
            <w:pPr>
              <w:spacing w:line="360" w:lineRule="auto"/>
              <w:jc w:val="both"/>
              <w:rPr>
                <w:b/>
                <w:bCs/>
              </w:rPr>
            </w:pPr>
            <w:r w:rsidRPr="00AB0288">
              <w:t xml:space="preserve">- pył zawieszony </w:t>
            </w:r>
            <w:r w:rsidRPr="00AB0288">
              <w:rPr>
                <w:b/>
                <w:bCs/>
              </w:rPr>
              <w:t>PM10</w:t>
            </w:r>
          </w:p>
          <w:p w:rsidR="00AB0288" w:rsidRPr="00AB0288" w:rsidRDefault="00AB0288" w:rsidP="00AB0288">
            <w:pPr>
              <w:spacing w:line="360" w:lineRule="auto"/>
              <w:jc w:val="both"/>
              <w:rPr>
                <w:b/>
                <w:bCs/>
              </w:rPr>
            </w:pPr>
            <w:r w:rsidRPr="00AB0288">
              <w:rPr>
                <w:b/>
                <w:bCs/>
              </w:rPr>
              <w:t xml:space="preserve">- </w:t>
            </w:r>
            <w:r w:rsidRPr="00AB0288">
              <w:rPr>
                <w:bCs/>
              </w:rPr>
              <w:t>pył zawieszony</w:t>
            </w:r>
            <w:r w:rsidRPr="00AB0288">
              <w:rPr>
                <w:b/>
                <w:bCs/>
              </w:rPr>
              <w:t xml:space="preserve"> PM 2,5</w:t>
            </w:r>
          </w:p>
        </w:tc>
        <w:tc>
          <w:tcPr>
            <w:tcW w:w="3708" w:type="dxa"/>
            <w:vAlign w:val="center"/>
          </w:tcPr>
          <w:p w:rsidR="00AB0288" w:rsidRPr="00AB0288" w:rsidRDefault="00AB0288" w:rsidP="00AB0288">
            <w:pPr>
              <w:spacing w:line="360" w:lineRule="auto"/>
              <w:jc w:val="both"/>
              <w:rPr>
                <w:b/>
                <w:bCs/>
                <w:lang w:val="de-DE"/>
              </w:rPr>
            </w:pPr>
            <w:r w:rsidRPr="00AB0288">
              <w:rPr>
                <w:b/>
                <w:bCs/>
                <w:lang w:val="de-DE"/>
              </w:rPr>
              <w:t xml:space="preserve">- </w:t>
            </w:r>
            <w:r w:rsidRPr="00AB0288">
              <w:rPr>
                <w:b/>
                <w:bCs/>
                <w:color w:val="FF0000"/>
                <w:lang w:val="de-DE"/>
              </w:rPr>
              <w:t>klasa C,</w:t>
            </w:r>
            <w:r w:rsidRPr="00AB0288">
              <w:rPr>
                <w:b/>
                <w:bCs/>
                <w:lang w:val="de-DE"/>
              </w:rPr>
              <w:t xml:space="preserve"> </w:t>
            </w:r>
          </w:p>
          <w:p w:rsidR="00AB0288" w:rsidRPr="00AB0288" w:rsidRDefault="00AB0288" w:rsidP="00AB0288">
            <w:pPr>
              <w:spacing w:line="360" w:lineRule="auto"/>
              <w:jc w:val="both"/>
              <w:rPr>
                <w:b/>
                <w:bCs/>
                <w:lang w:val="de-DE"/>
              </w:rPr>
            </w:pPr>
            <w:r w:rsidRPr="00AB0288">
              <w:rPr>
                <w:b/>
                <w:bCs/>
                <w:lang w:val="de-DE"/>
              </w:rPr>
              <w:t xml:space="preserve">- </w:t>
            </w:r>
            <w:r w:rsidRPr="00AB0288">
              <w:rPr>
                <w:b/>
                <w:bCs/>
                <w:color w:val="FF0000"/>
                <w:lang w:val="de-DE"/>
              </w:rPr>
              <w:t>klasa C</w:t>
            </w:r>
            <w:r w:rsidRPr="00AB0288">
              <w:rPr>
                <w:b/>
                <w:bCs/>
                <w:lang w:val="de-DE"/>
              </w:rPr>
              <w:t xml:space="preserve">, </w:t>
            </w:r>
          </w:p>
        </w:tc>
      </w:tr>
      <w:tr w:rsidR="00AB0288" w:rsidRPr="00AB0288" w:rsidTr="002A5484">
        <w:trPr>
          <w:jc w:val="center"/>
        </w:trPr>
        <w:tc>
          <w:tcPr>
            <w:tcW w:w="3096" w:type="dxa"/>
            <w:vAlign w:val="center"/>
          </w:tcPr>
          <w:p w:rsidR="00AB0288" w:rsidRPr="00AB0288" w:rsidRDefault="00AB0288" w:rsidP="00AB0288">
            <w:pPr>
              <w:spacing w:line="360" w:lineRule="auto"/>
              <w:jc w:val="both"/>
              <w:rPr>
                <w:lang w:val="de-DE"/>
              </w:rPr>
            </w:pPr>
            <w:r w:rsidRPr="00AB0288">
              <w:rPr>
                <w:lang w:val="de-DE"/>
              </w:rPr>
              <w:t xml:space="preserve">- benzen - </w:t>
            </w:r>
            <w:r w:rsidRPr="00AB0288">
              <w:rPr>
                <w:b/>
                <w:bCs/>
                <w:lang w:val="de-DE"/>
              </w:rPr>
              <w:t>C</w:t>
            </w:r>
            <w:r w:rsidRPr="00AB0288">
              <w:rPr>
                <w:b/>
                <w:bCs/>
                <w:vertAlign w:val="subscript"/>
                <w:lang w:val="de-DE"/>
              </w:rPr>
              <w:t>6</w:t>
            </w:r>
            <w:r w:rsidRPr="00AB0288">
              <w:rPr>
                <w:b/>
                <w:bCs/>
                <w:lang w:val="de-DE"/>
              </w:rPr>
              <w:t>H</w:t>
            </w:r>
            <w:r w:rsidRPr="00AB0288">
              <w:rPr>
                <w:b/>
                <w:bCs/>
                <w:vertAlign w:val="subscript"/>
                <w:lang w:val="de-DE"/>
              </w:rPr>
              <w:t>6</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tlenek węgla - </w:t>
            </w:r>
            <w:r w:rsidRPr="00AB0288">
              <w:rPr>
                <w:b/>
                <w:bCs/>
              </w:rPr>
              <w:t>CO</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ołów - </w:t>
            </w:r>
            <w:r w:rsidRPr="00AB0288">
              <w:rPr>
                <w:b/>
                <w:bCs/>
              </w:rPr>
              <w:t>Pb</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bl>
    <w:p w:rsidR="00AB0288" w:rsidRPr="00AB0288" w:rsidRDefault="00AB0288" w:rsidP="00AB0288">
      <w:pPr>
        <w:numPr>
          <w:ilvl w:val="0"/>
          <w:numId w:val="6"/>
        </w:numPr>
        <w:spacing w:after="200" w:line="360" w:lineRule="auto"/>
        <w:jc w:val="both"/>
      </w:pPr>
      <w:r w:rsidRPr="00AB0288">
        <w:t>poziomy docelowe: (metale ciężkie arsen, kadm, nikiel i ołów oznaczanych w pyle zawieszonym PM10)</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AB0288" w:rsidRPr="00AB0288" w:rsidTr="002A5484">
        <w:trPr>
          <w:jc w:val="center"/>
        </w:trPr>
        <w:tc>
          <w:tcPr>
            <w:tcW w:w="3096" w:type="dxa"/>
            <w:vAlign w:val="center"/>
          </w:tcPr>
          <w:p w:rsidR="00AB0288" w:rsidRPr="00AB0288" w:rsidRDefault="00AB0288" w:rsidP="00AB0288">
            <w:pPr>
              <w:spacing w:line="360" w:lineRule="auto"/>
              <w:jc w:val="both"/>
              <w:rPr>
                <w:lang w:val="en-US"/>
              </w:rPr>
            </w:pPr>
            <w:r w:rsidRPr="00AB0288">
              <w:rPr>
                <w:lang w:val="en-US"/>
              </w:rPr>
              <w:t xml:space="preserve">- arsen - </w:t>
            </w:r>
            <w:r w:rsidRPr="00AB0288">
              <w:rPr>
                <w:b/>
                <w:bCs/>
                <w:lang w:val="en-US"/>
              </w:rPr>
              <w:t>As</w:t>
            </w:r>
          </w:p>
        </w:tc>
        <w:tc>
          <w:tcPr>
            <w:tcW w:w="3708" w:type="dxa"/>
            <w:vAlign w:val="center"/>
          </w:tcPr>
          <w:p w:rsidR="00AB0288" w:rsidRPr="00AB0288" w:rsidRDefault="00AB0288" w:rsidP="00AB0288">
            <w:pPr>
              <w:spacing w:line="360" w:lineRule="auto"/>
              <w:jc w:val="both"/>
              <w:rPr>
                <w:b/>
                <w:bCs/>
                <w:lang w:val="en-US"/>
              </w:rPr>
            </w:pPr>
            <w:r w:rsidRPr="00AB0288">
              <w:rPr>
                <w:b/>
                <w:bCs/>
                <w:lang w:val="en-U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kadm - </w:t>
            </w:r>
            <w:r w:rsidRPr="00AB0288">
              <w:rPr>
                <w:b/>
                <w:bCs/>
              </w:rPr>
              <w:t>Cd</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nikiel - </w:t>
            </w:r>
            <w:r w:rsidRPr="00AB0288">
              <w:rPr>
                <w:b/>
                <w:bCs/>
              </w:rPr>
              <w:t>Ni</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r w:rsidR="00AB0288" w:rsidRPr="00AB0288" w:rsidTr="002A5484">
        <w:trPr>
          <w:jc w:val="center"/>
        </w:trPr>
        <w:tc>
          <w:tcPr>
            <w:tcW w:w="3096" w:type="dxa"/>
            <w:vAlign w:val="center"/>
          </w:tcPr>
          <w:p w:rsidR="00AB0288" w:rsidRPr="00AB0288" w:rsidRDefault="00AB0288" w:rsidP="00AB0288">
            <w:pPr>
              <w:spacing w:line="360" w:lineRule="auto"/>
              <w:jc w:val="both"/>
              <w:rPr>
                <w:lang w:val="de-DE"/>
              </w:rPr>
            </w:pPr>
            <w:r w:rsidRPr="00AB0288">
              <w:rPr>
                <w:lang w:val="de-DE"/>
              </w:rPr>
              <w:t>- benzo(</w:t>
            </w:r>
            <w:r w:rsidRPr="00AB0288">
              <w:t>a</w:t>
            </w:r>
            <w:r w:rsidRPr="00AB0288">
              <w:rPr>
                <w:lang w:val="de-DE"/>
              </w:rPr>
              <w:t xml:space="preserve">)piren – </w:t>
            </w:r>
            <w:r w:rsidRPr="00AB0288">
              <w:rPr>
                <w:b/>
                <w:bCs/>
                <w:lang w:val="de-DE"/>
              </w:rPr>
              <w:t>C</w:t>
            </w:r>
            <w:r w:rsidRPr="00AB0288">
              <w:rPr>
                <w:b/>
                <w:bCs/>
                <w:vertAlign w:val="subscript"/>
                <w:lang w:val="de-DE"/>
              </w:rPr>
              <w:t>20</w:t>
            </w:r>
            <w:r w:rsidRPr="00AB0288">
              <w:rPr>
                <w:b/>
                <w:bCs/>
                <w:lang w:val="de-DE"/>
              </w:rPr>
              <w:t>H</w:t>
            </w:r>
            <w:r w:rsidRPr="00AB0288">
              <w:rPr>
                <w:b/>
                <w:bCs/>
                <w:vertAlign w:val="subscript"/>
                <w:lang w:val="de-DE"/>
              </w:rPr>
              <w:t>12</w:t>
            </w:r>
          </w:p>
        </w:tc>
        <w:tc>
          <w:tcPr>
            <w:tcW w:w="3708" w:type="dxa"/>
            <w:vAlign w:val="center"/>
          </w:tcPr>
          <w:p w:rsidR="00AB0288" w:rsidRPr="00AB0288" w:rsidRDefault="00AB0288" w:rsidP="00AB0288">
            <w:pPr>
              <w:spacing w:line="360" w:lineRule="auto"/>
              <w:jc w:val="both"/>
              <w:rPr>
                <w:b/>
                <w:bCs/>
              </w:rPr>
            </w:pPr>
            <w:r w:rsidRPr="00AB0288">
              <w:rPr>
                <w:b/>
                <w:bCs/>
              </w:rPr>
              <w:t xml:space="preserve">- </w:t>
            </w:r>
            <w:r w:rsidRPr="00AB0288">
              <w:rPr>
                <w:b/>
                <w:bCs/>
                <w:color w:val="FF0000"/>
              </w:rPr>
              <w:t>klasa C</w:t>
            </w:r>
            <w:r w:rsidRPr="00AB0288">
              <w:rPr>
                <w:b/>
                <w:bCs/>
              </w:rPr>
              <w:t>,</w:t>
            </w:r>
          </w:p>
        </w:tc>
      </w:tr>
      <w:tr w:rsidR="00AB0288" w:rsidRPr="00AB0288" w:rsidTr="002A5484">
        <w:trPr>
          <w:jc w:val="center"/>
        </w:trPr>
        <w:tc>
          <w:tcPr>
            <w:tcW w:w="3096" w:type="dxa"/>
            <w:vAlign w:val="center"/>
          </w:tcPr>
          <w:p w:rsidR="00AB0288" w:rsidRPr="00AB0288" w:rsidRDefault="00AB0288" w:rsidP="00AB0288">
            <w:pPr>
              <w:spacing w:line="360" w:lineRule="auto"/>
              <w:jc w:val="both"/>
            </w:pPr>
            <w:r w:rsidRPr="00AB0288">
              <w:t xml:space="preserve">- ozon - </w:t>
            </w:r>
            <w:r w:rsidRPr="00AB0288">
              <w:rPr>
                <w:b/>
                <w:bCs/>
              </w:rPr>
              <w:t>O</w:t>
            </w:r>
            <w:r w:rsidRPr="00AB0288">
              <w:rPr>
                <w:b/>
                <w:bCs/>
                <w:vertAlign w:val="subscript"/>
              </w:rPr>
              <w:t>3</w:t>
            </w:r>
          </w:p>
        </w:tc>
        <w:tc>
          <w:tcPr>
            <w:tcW w:w="3708" w:type="dxa"/>
            <w:vAlign w:val="center"/>
          </w:tcPr>
          <w:p w:rsidR="00AB0288" w:rsidRPr="00AB0288" w:rsidRDefault="00AB0288" w:rsidP="00AB0288">
            <w:pPr>
              <w:spacing w:line="360" w:lineRule="auto"/>
              <w:jc w:val="both"/>
              <w:rPr>
                <w:b/>
                <w:bCs/>
              </w:rPr>
            </w:pPr>
            <w:r w:rsidRPr="00AB0288">
              <w:rPr>
                <w:b/>
                <w:bCs/>
              </w:rPr>
              <w:t>- klasa A.</w:t>
            </w:r>
          </w:p>
        </w:tc>
      </w:tr>
    </w:tbl>
    <w:p w:rsidR="00AB0288" w:rsidRPr="00AB0288" w:rsidRDefault="00AB0288" w:rsidP="00AB0288">
      <w:pPr>
        <w:spacing w:line="360" w:lineRule="auto"/>
        <w:ind w:firstLine="360"/>
      </w:pPr>
      <w:r w:rsidRPr="00AB0288">
        <w:t>O zaliczeniu strefy kujawsko – pomorskiej, ze względu na ochronę zdrowia ludzi, do niekorzystnej klasy C w 2015 roku zadecydowały:</w:t>
      </w:r>
    </w:p>
    <w:p w:rsidR="00AB0288" w:rsidRPr="00AB0288" w:rsidRDefault="00AB0288" w:rsidP="00AB0288">
      <w:pPr>
        <w:numPr>
          <w:ilvl w:val="0"/>
          <w:numId w:val="9"/>
        </w:numPr>
        <w:spacing w:line="360" w:lineRule="auto"/>
        <w:jc w:val="both"/>
      </w:pPr>
      <w:r w:rsidRPr="00AB0288">
        <w:t xml:space="preserve">ponadnormatywne stężenia 24-godzinne pyłu zawieszonego PM10 (Nakło nad Notecią – ul. P.Skargi, Grudziądz – ul. Sienkiewicza i ul. Piłsudskiego, Inowrocław – ul. Solankowa, Brodnica ul. Kochanowskiego, Ciechocinek, ul. Tężniowa, Koniczynka w powiecie toruńskim), </w:t>
      </w:r>
    </w:p>
    <w:p w:rsidR="00AB0288" w:rsidRPr="00AB0288" w:rsidRDefault="00AB0288" w:rsidP="00AB0288">
      <w:pPr>
        <w:numPr>
          <w:ilvl w:val="0"/>
          <w:numId w:val="9"/>
        </w:numPr>
        <w:spacing w:line="360" w:lineRule="auto"/>
      </w:pPr>
      <w:r w:rsidRPr="00AB0288">
        <w:t xml:space="preserve">stężenie średnie roczne benzo(a)pirenu w pyle PM10 (Grudziądz – ul. </w:t>
      </w:r>
    </w:p>
    <w:p w:rsidR="00AB0288" w:rsidRPr="00AB0288" w:rsidRDefault="00AB0288" w:rsidP="00AB0288">
      <w:pPr>
        <w:spacing w:line="360" w:lineRule="auto"/>
        <w:ind w:left="1080"/>
      </w:pPr>
      <w:r w:rsidRPr="00AB0288">
        <w:t>Sienkiewicza, Nakło nad Notecią - ul. P. Skargi, Koniczynka – stacja bazowa Zintegrowanego Monitoringu Środowiska, Inowrocław – ul. Solankowa),</w:t>
      </w:r>
    </w:p>
    <w:p w:rsidR="00AB0288" w:rsidRPr="00AB0288" w:rsidRDefault="00AB0288" w:rsidP="00AB0288">
      <w:pPr>
        <w:numPr>
          <w:ilvl w:val="0"/>
          <w:numId w:val="9"/>
        </w:numPr>
        <w:spacing w:after="120" w:line="360" w:lineRule="auto"/>
        <w:contextualSpacing/>
      </w:pPr>
      <w:r w:rsidRPr="00AB0288">
        <w:t>średnie stężenie roczne pyłu PM2,5 (Grudziądz – ul. Sienkiewicza).</w:t>
      </w:r>
    </w:p>
    <w:p w:rsidR="00AB0288" w:rsidRPr="00AB0288" w:rsidRDefault="00AB0288" w:rsidP="00AB0288">
      <w:pPr>
        <w:spacing w:line="360" w:lineRule="auto"/>
        <w:ind w:firstLine="360"/>
      </w:pPr>
      <w:r w:rsidRPr="00AB0288">
        <w:t>O zaliczeniu strefy kujawsko – pomorskiej do niekorzystnej klasy D2 w 2015 roku zdecydowały w przypadku klasyfikacji ze względu na ochronę zdrowia:</w:t>
      </w:r>
    </w:p>
    <w:p w:rsidR="00AB0288" w:rsidRPr="00AB0288" w:rsidRDefault="00AB0288" w:rsidP="00AB0288">
      <w:pPr>
        <w:numPr>
          <w:ilvl w:val="0"/>
          <w:numId w:val="10"/>
        </w:numPr>
        <w:spacing w:line="360" w:lineRule="auto"/>
        <w:contextualSpacing/>
        <w:rPr>
          <w:bCs/>
        </w:rPr>
      </w:pPr>
      <w:r w:rsidRPr="00AB0288">
        <w:rPr>
          <w:bCs/>
        </w:rPr>
        <w:t>maksymalne stężenia 8-godzinne ozonu z 2015 roku na dwóch stacjach z terenu strefy, tzn. Koniczynka, Zielonka,</w:t>
      </w:r>
    </w:p>
    <w:p w:rsidR="00AB0288" w:rsidRPr="00AB0288" w:rsidRDefault="00AB0288" w:rsidP="0081670E">
      <w:pPr>
        <w:rPr>
          <w:caps/>
        </w:rPr>
      </w:pPr>
    </w:p>
    <w:p w:rsidR="00AD2664" w:rsidRPr="00AD2664" w:rsidRDefault="00AD2664" w:rsidP="00AD2664">
      <w:pPr>
        <w:spacing w:line="360" w:lineRule="auto"/>
        <w:ind w:left="360"/>
        <w:jc w:val="both"/>
        <w:rPr>
          <w:b/>
        </w:rPr>
      </w:pPr>
      <w:r w:rsidRPr="00AD2664">
        <w:rPr>
          <w:b/>
        </w:rPr>
        <w:lastRenderedPageBreak/>
        <w:t>II. MONITORING WÓD POWIERZCHNIOWYCH</w:t>
      </w:r>
    </w:p>
    <w:p w:rsidR="00AD2664" w:rsidRPr="00AD2664" w:rsidRDefault="00AD2664" w:rsidP="00AD2664">
      <w:pPr>
        <w:spacing w:line="360" w:lineRule="auto"/>
        <w:ind w:left="851"/>
        <w:jc w:val="both"/>
        <w:rPr>
          <w:b/>
        </w:rPr>
      </w:pPr>
    </w:p>
    <w:p w:rsidR="00AD2664" w:rsidRPr="00AD2664" w:rsidRDefault="00AD2664" w:rsidP="00AD2664">
      <w:pPr>
        <w:numPr>
          <w:ilvl w:val="0"/>
          <w:numId w:val="1"/>
        </w:numPr>
        <w:spacing w:line="360" w:lineRule="auto"/>
        <w:ind w:left="567" w:hanging="567"/>
        <w:jc w:val="both"/>
        <w:rPr>
          <w:b/>
        </w:rPr>
      </w:pPr>
      <w:r w:rsidRPr="00AD2664">
        <w:rPr>
          <w:b/>
        </w:rPr>
        <w:t>RZEKI</w:t>
      </w:r>
    </w:p>
    <w:p w:rsidR="00AD2664" w:rsidRPr="00AD2664" w:rsidRDefault="00AD2664" w:rsidP="00AD2664">
      <w:pPr>
        <w:spacing w:line="360" w:lineRule="auto"/>
        <w:ind w:firstLine="709"/>
        <w:jc w:val="both"/>
      </w:pPr>
      <w:r w:rsidRPr="00AD2664">
        <w:t>Monitoring jakości śródlądowych wód powierzchniowych prowadzony jest w celu stworzenia podstaw do podejmowania działań na rzecz poprawy stanu wód, ich ochrony przed zanieczyszczeniem, w tym ochrony przed eutrofizacją spowodowaną wpływem sektora bytowo-komunalnego i rolnictwa oraz ochrony przed zanieczyszczeniami przemysłowymi.</w:t>
      </w:r>
    </w:p>
    <w:p w:rsidR="00AD2664" w:rsidRPr="00AD2664" w:rsidRDefault="00AD2664" w:rsidP="00AD2664">
      <w:pPr>
        <w:spacing w:line="360" w:lineRule="auto"/>
        <w:ind w:firstLine="426"/>
        <w:jc w:val="both"/>
      </w:pPr>
      <w:r w:rsidRPr="00AD2664">
        <w:t xml:space="preserve">W województwie kujawsko-pomorskim podstawą prowadzenia monitoringu jakości wód powierzchniowych w roku 2015 był </w:t>
      </w:r>
      <w:r w:rsidRPr="00AD2664">
        <w:rPr>
          <w:i/>
        </w:rPr>
        <w:t>Program Wojewódzkiego Państwowego Monitoringu Środowiska na lata 2013–2015</w:t>
      </w:r>
      <w:r w:rsidRPr="00AD2664">
        <w:t>. Został on</w:t>
      </w:r>
      <w:r w:rsidRPr="00AD2664">
        <w:rPr>
          <w:i/>
        </w:rPr>
        <w:t xml:space="preserve"> </w:t>
      </w:r>
      <w:r w:rsidRPr="00AD2664">
        <w:t>opracowany przez Wojewódzki Inspektorat Ochrony Środowiska w Bydgoszczy, zatwierdzony przez Głównego Inspektora Ochrony Środowiska. Lata 2013 – 2015 stanowią drugą część sześcioletniego cyklu gospodarowania wodami: 2010 – 2015.</w:t>
      </w:r>
      <w:r w:rsidRPr="00AD2664">
        <w:rPr>
          <w:color w:val="7F7F7F"/>
        </w:rPr>
        <w:t xml:space="preserve"> </w:t>
      </w:r>
      <w:r w:rsidRPr="00AD2664">
        <w:t>Monitoring wód płynących realizowano w oparciu o rozporządzenie Ministra Środowiska z dnia 21.11.2013 r. zmieniające rozporządzenie w sprawie form i sposobu prowadzenia monitoringu jednolitych części wód powierzchniowych i podziemnych (Dz.U. 2013 r., poz. 1558).</w:t>
      </w:r>
    </w:p>
    <w:p w:rsidR="00AD2664" w:rsidRPr="00AD2664" w:rsidRDefault="00AD2664" w:rsidP="00AD2664">
      <w:pPr>
        <w:tabs>
          <w:tab w:val="left" w:pos="709"/>
        </w:tabs>
        <w:spacing w:line="360" w:lineRule="auto"/>
        <w:jc w:val="both"/>
      </w:pPr>
      <w:r w:rsidRPr="00AD2664">
        <w:tab/>
        <w:t>Ocenę stanu wód płynących przeprowadzono w oparciu o rozporządzenie Ministra Środowiska z dnia 22.10.2014 r. w sprawie sposobu klasyfikacji stanu jednolitych części wód powierzchniowych oraz środowiskowych norm jakości dla substancji priorytetowych (Dz.U.2014, poz. 1482). Należy zwrócić uwagę, że w naturalnych JCW określany jest stan ekologiczny, natomiast w sztucznych i silnie zmienionych – potencjał ekologiczny. Klasyfikacja w punktach pomiarowo-kontrolnych rzek jest podstawą do klasyfikacji jednolitych części wód. Stan/potencjał ekologiczny określany jest na podstawie oceny biologicznej, fizykochemicznej, chemicznej i hydromorfologicznej.</w:t>
      </w:r>
    </w:p>
    <w:p w:rsidR="00AD2664" w:rsidRPr="00AD2664" w:rsidRDefault="00AD2664" w:rsidP="00AD2664">
      <w:pPr>
        <w:spacing w:line="360" w:lineRule="auto"/>
        <w:ind w:firstLine="709"/>
        <w:jc w:val="both"/>
      </w:pPr>
      <w:r w:rsidRPr="00AD2664">
        <w:t xml:space="preserve">W myśl rozporządzenia, podstawą oceny stanu ekologicznego wód są parametry biologiczne. Dobór parametru biologicznego uzależniony jest od typologii abiotycznej rzeki. Oznacza się Makrofitowy Indeks Rzeczny (makrofity - makroskopowe rośliny trwale zanurzone lub zakorzenione w wodzie), Indeks Okrzemkowy (fitobentos - zbiorowiska mikroorganizmów rozwijające się w obrębie dna zbiorników wodnych i porastające różne rodzaje podłoża) oraz Makrobentosowy Indeks (makrobezkręgowce bentosowe - bezkręgowe zwierzęta żyjące w obrębie dna zbiornika wodnego, których wymiary ciała przekraczają </w:t>
      </w:r>
      <w:r w:rsidRPr="00AD2664">
        <w:br/>
        <w:t xml:space="preserve">2 mm). Badane na każdym stanowisku wskaźniki fizykochemiczne są jedynie uzupełnieniem badań biologicznych i wspólnie klasyfikowane ze wskaźnikami biologicznymi stanowią ocenę ekologiczną rzek. Drugim znaczącym elementem oceny jakości wód jest stan </w:t>
      </w:r>
      <w:r w:rsidRPr="00AD2664">
        <w:lastRenderedPageBreak/>
        <w:t>chemiczny wód opracowany na podstawie zawartości substancji priorytetowych oraz innych substancji zanieczyszczających.</w:t>
      </w:r>
    </w:p>
    <w:p w:rsidR="00AD2664" w:rsidRDefault="00AD2664" w:rsidP="00AD2664">
      <w:pPr>
        <w:spacing w:line="360" w:lineRule="auto"/>
        <w:jc w:val="both"/>
      </w:pPr>
    </w:p>
    <w:p w:rsidR="00AD2664" w:rsidRPr="00AD2664" w:rsidRDefault="00AD2664" w:rsidP="00AD2664">
      <w:pPr>
        <w:spacing w:line="360" w:lineRule="auto"/>
        <w:jc w:val="both"/>
      </w:pPr>
      <w:r w:rsidRPr="00AD2664">
        <w:t xml:space="preserve">Na terenie powiatu włocławskiego w 2015 roku objęto monitoringiem cztery rzeki: Zgłowiączkę, Chodeczkę, Lubieńkę oraz Rakutówkę. </w:t>
      </w:r>
    </w:p>
    <w:p w:rsidR="00AD2664" w:rsidRPr="00AD2664" w:rsidRDefault="00AD2664" w:rsidP="00AD2664">
      <w:pPr>
        <w:spacing w:line="360" w:lineRule="auto"/>
        <w:jc w:val="both"/>
      </w:pPr>
    </w:p>
    <w:p w:rsidR="00AD2664" w:rsidRPr="00AD2664" w:rsidRDefault="00AD2664" w:rsidP="00AD2664">
      <w:pPr>
        <w:spacing w:line="360" w:lineRule="auto"/>
        <w:jc w:val="center"/>
      </w:pPr>
      <w:r>
        <w:rPr>
          <w:noProof/>
        </w:rPr>
        <w:drawing>
          <wp:inline distT="0" distB="0" distL="0" distR="0">
            <wp:extent cx="4884420" cy="6713220"/>
            <wp:effectExtent l="0" t="0" r="0" b="0"/>
            <wp:docPr id="1" name="Obraz 1" descr="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i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4420" cy="6713220"/>
                    </a:xfrm>
                    <a:prstGeom prst="rect">
                      <a:avLst/>
                    </a:prstGeom>
                    <a:noFill/>
                    <a:ln>
                      <a:noFill/>
                    </a:ln>
                  </pic:spPr>
                </pic:pic>
              </a:graphicData>
            </a:graphic>
          </wp:inline>
        </w:drawing>
      </w:r>
    </w:p>
    <w:p w:rsidR="00AD2664" w:rsidRPr="00AD2664" w:rsidRDefault="00AD2664" w:rsidP="00AD2664">
      <w:pPr>
        <w:tabs>
          <w:tab w:val="left" w:pos="567"/>
        </w:tabs>
        <w:spacing w:line="360" w:lineRule="auto"/>
        <w:jc w:val="both"/>
        <w:rPr>
          <w:b/>
          <w:i/>
        </w:rPr>
      </w:pPr>
    </w:p>
    <w:p w:rsidR="00AD2664" w:rsidRPr="00AD2664" w:rsidRDefault="00AD2664" w:rsidP="00AD2664"/>
    <w:p w:rsidR="00AD2664" w:rsidRPr="00AD2664" w:rsidRDefault="00AD2664" w:rsidP="00AD2664">
      <w:pPr>
        <w:tabs>
          <w:tab w:val="num" w:pos="-3960"/>
        </w:tabs>
        <w:spacing w:line="360" w:lineRule="auto"/>
        <w:jc w:val="both"/>
      </w:pPr>
      <w:r w:rsidRPr="00AD2664">
        <w:rPr>
          <w:b/>
          <w:i/>
        </w:rPr>
        <w:lastRenderedPageBreak/>
        <w:t>Zgłowiączka</w:t>
      </w:r>
      <w:r w:rsidRPr="00AD2664">
        <w:t xml:space="preserve"> jest lewobrzeżnym dopływem Wisły oraz największą rzeką Pojezierza Kujawskiego. Jej długość wraz z Kanałem Głuszyńskim, stanowiącym odcinek źródłowy, wynosi 91,5 km. Zgłowiączka przepływa przez jezioro Głuszyńskie. Ważniejszymi jej dopływami są: Sarnówka (Struga), Chodeczka, Lubieńka i Kanał Bachorze (Bachorza). Powierzchnia zlewni Zgłowiączki wynosi 1519,7 km</w:t>
      </w:r>
      <w:r w:rsidRPr="00AD2664">
        <w:rPr>
          <w:vertAlign w:val="superscript"/>
        </w:rPr>
        <w:t>2</w:t>
      </w:r>
      <w:r w:rsidRPr="00AD2664">
        <w:t xml:space="preserve">. W użytkowaniu terenu dominują grunty orne. Z uwagi na wysoką zawartość azotanów górny fragment Zgłowiączki (Kanał Głuszyński) uznano za wody wrażliwe na zanieczyszczenie związkami azotu pochodzenia rolniczego. Odcinek ujściowy o długości ok. 6,5 km jest uregulowany i przebiega w strefie miejskiej Włocławka. </w:t>
      </w:r>
    </w:p>
    <w:p w:rsidR="00AD2664" w:rsidRPr="00AD2664" w:rsidRDefault="00AD2664" w:rsidP="00AD2664">
      <w:pPr>
        <w:tabs>
          <w:tab w:val="num" w:pos="-3960"/>
        </w:tabs>
        <w:spacing w:line="360" w:lineRule="auto"/>
        <w:jc w:val="both"/>
      </w:pPr>
      <w:r w:rsidRPr="00AD2664">
        <w:t>Na terenie powiatu włocławskiego głównymi punktowymi źródłami zanieczyszczenia rzeki Zgłowiączki w 2015 roku były oczyszczalnie ścieków w Lubrańcu i Brześciu Kujawskim oraz uzdrowisko Wieniec.</w:t>
      </w:r>
    </w:p>
    <w:p w:rsidR="00AD2664" w:rsidRPr="00AD2664" w:rsidRDefault="00AD2664" w:rsidP="00AD2664">
      <w:pPr>
        <w:tabs>
          <w:tab w:val="num" w:pos="-3960"/>
        </w:tabs>
        <w:spacing w:line="360" w:lineRule="auto"/>
        <w:ind w:firstLine="709"/>
        <w:jc w:val="both"/>
      </w:pPr>
      <w:r w:rsidRPr="00AD2664">
        <w:t>W powiecie włocławskim na Zgłowiączce zlokalizowano dwa stanowiska pomiarowo-kontrolne – poniżej Lubrańca i w Józefowie. W obu punktach badano wody w zakresie monitoringu operacyjnego. Wykonano ocenę biologiczną na podstawie oznaczenia organizmów fitobentosowych i w obu przypadkach była ona bardzo dobra (I klasa). Wskaźniki fizykochemiczne określono poniżej stanu dobrego, o czym zadecydowało, zarówno poniżej Lubrańca, jak i w Józefowie, stężenie związków fosforu. Na obu stanowiskach stwierdzono umiarkowany stan ekologiczny wód.</w:t>
      </w:r>
    </w:p>
    <w:p w:rsidR="00AD2664" w:rsidRPr="00AD2664" w:rsidRDefault="00AD2664" w:rsidP="00AD2664">
      <w:pPr>
        <w:tabs>
          <w:tab w:val="num" w:pos="-3960"/>
        </w:tabs>
        <w:spacing w:line="360" w:lineRule="auto"/>
        <w:jc w:val="both"/>
      </w:pPr>
      <w:r w:rsidRPr="00AD2664">
        <w:t>W porównaniu z badaniami z 2012 roku nastąpiła nieznaczna poprawa wartości średniorocznych parametrów fizykochemicznych.</w:t>
      </w:r>
    </w:p>
    <w:p w:rsidR="00AD2664" w:rsidRPr="00AD2664" w:rsidRDefault="00AD2664" w:rsidP="00AD2664">
      <w:pPr>
        <w:tabs>
          <w:tab w:val="num" w:pos="-3960"/>
        </w:tabs>
        <w:spacing w:line="360" w:lineRule="auto"/>
        <w:jc w:val="both"/>
        <w:rPr>
          <w:b/>
          <w:i/>
        </w:rPr>
      </w:pPr>
    </w:p>
    <w:p w:rsidR="00AD2664" w:rsidRPr="00AD2664" w:rsidRDefault="00AD2664" w:rsidP="00AD2664">
      <w:pPr>
        <w:spacing w:line="360" w:lineRule="auto"/>
        <w:jc w:val="both"/>
      </w:pPr>
      <w:r w:rsidRPr="00AD2664">
        <w:rPr>
          <w:b/>
          <w:bCs/>
          <w:i/>
          <w:iCs/>
        </w:rPr>
        <w:t>Chodeczka</w:t>
      </w:r>
      <w:r w:rsidRPr="00AD2664">
        <w:t xml:space="preserve"> jest drugim co do wielkości dopływem Zgłowiączki. Bierze ona swój początek </w:t>
      </w:r>
      <w:r w:rsidRPr="00AD2664">
        <w:br/>
        <w:t xml:space="preserve">z zabagnionego jeziorka, położonego na południe od jeziora Kromszewickiego. Całkowita długość rzeki wynosi 29,8 km. Przepływa ona przez szereg jezior: Kromszewickie, Chodeckie, Lubienieckie, Szczytnowskie, Borzymowskie i Krukowskie. W górnym odcinku rzekę zasilają liczne wypływy wód podziemnych. Pomiędzy jeziorem Chodeckim </w:t>
      </w:r>
      <w:r w:rsidRPr="00AD2664">
        <w:br/>
        <w:t xml:space="preserve">a Lubienieckim oraz ok. 3 km od ujścia zlokalizowane są zastawki retencjonujące wodę na potrzeby zlokalizowanych tu młynów i elektrowni wodnej. W ujściowym odcinku rzeki znajduje się zastawka dla celów retencjonowania wody dla potrzeb przyległych użytków. </w:t>
      </w:r>
      <w:r w:rsidRPr="00AD2664">
        <w:br/>
        <w:t>Na wylocie z jeziora Chodeckiego zlokalizowany jest przepust z zastawką stabilizującą lustro wody tego zbiornika. Rzeka odwadnia obszar o powierzchni 206,1 km</w:t>
      </w:r>
      <w:r w:rsidRPr="00AD2664">
        <w:rPr>
          <w:vertAlign w:val="superscript"/>
        </w:rPr>
        <w:t>2</w:t>
      </w:r>
      <w:r w:rsidRPr="00AD2664">
        <w:t>. Zlewnia Chodeczki charakteryzuje się typowo rolniczym wykorzystaniem, a główne punktowe źródła zanieczyszczeń rzeki to oczyszczalnie ścieków w Chodczu i Choceniu oraz w Boniewie.</w:t>
      </w:r>
    </w:p>
    <w:p w:rsidR="00AD2664" w:rsidRPr="00AD2664" w:rsidRDefault="00AD2664" w:rsidP="00AD2664">
      <w:pPr>
        <w:keepNext/>
        <w:spacing w:line="360" w:lineRule="auto"/>
        <w:jc w:val="both"/>
        <w:outlineLvl w:val="2"/>
        <w:rPr>
          <w:color w:val="0070C0"/>
        </w:rPr>
      </w:pPr>
      <w:r w:rsidRPr="00AD2664">
        <w:lastRenderedPageBreak/>
        <w:t>Chodeczka w górnym biegu zaliczana jest do typu 25, jako rzeka łącząca jeziora, a w dolnym jest w typie 20 - rzeka nizinna żwirowa. Obie jednolite części wód były objęte monitoringiem w 2015 roku.</w:t>
      </w:r>
    </w:p>
    <w:p w:rsidR="00AD2664" w:rsidRPr="00AD2664" w:rsidRDefault="00AD2664" w:rsidP="00AD2664">
      <w:pPr>
        <w:spacing w:line="360" w:lineRule="auto"/>
        <w:jc w:val="both"/>
      </w:pPr>
      <w:r w:rsidRPr="00AD2664">
        <w:t>Punkty monitoringu zlokalizowano poniżej jeziora Borzymowskiego oraz przy ujściu Chodeczki do Zgłowiączki, w miejscowości Ossowo. Na obu stanowiskach oznaczono organizmy fitobentosowe, które były na poziomie I klasy. Badane parametry fizykochemiczne nie przekroczyły norm dla II klasy. Zarówno na stanowisku poniżej jeziora Borzymowskiego, jak i przy ujściu stwierdzono wody w dobrym stanie/potencjale ekologicznym.</w:t>
      </w:r>
    </w:p>
    <w:p w:rsidR="00AD2664" w:rsidRPr="00AD2664" w:rsidRDefault="00AD2664" w:rsidP="00AD2664">
      <w:pPr>
        <w:spacing w:line="360" w:lineRule="auto"/>
        <w:jc w:val="both"/>
      </w:pPr>
      <w:r w:rsidRPr="00AD2664">
        <w:t>Porównując wartości średnioroczne badanych parametrów z analizami z 2012 roku stwierdzono zdecydowaną poprawę na całej badanej długości rzeki pod względem parametrów fizykochemicznym.</w:t>
      </w:r>
    </w:p>
    <w:p w:rsidR="00AD2664" w:rsidRPr="00AD2664" w:rsidRDefault="00AD2664" w:rsidP="00AD2664">
      <w:pPr>
        <w:ind w:firstLine="720"/>
        <w:jc w:val="both"/>
        <w:rPr>
          <w:rFonts w:ascii="Arial" w:hAnsi="Arial"/>
          <w:b/>
          <w:i/>
          <w:sz w:val="18"/>
          <w:szCs w:val="18"/>
        </w:rPr>
      </w:pPr>
    </w:p>
    <w:p w:rsidR="00AD2664" w:rsidRPr="00AD2664" w:rsidRDefault="00AD2664" w:rsidP="00AD2664">
      <w:pPr>
        <w:spacing w:line="360" w:lineRule="auto"/>
        <w:jc w:val="both"/>
      </w:pPr>
      <w:r w:rsidRPr="00AD2664">
        <w:rPr>
          <w:b/>
          <w:bCs/>
          <w:i/>
          <w:iCs/>
        </w:rPr>
        <w:t xml:space="preserve">Lubieńka </w:t>
      </w:r>
      <w:r w:rsidRPr="00AD2664">
        <w:t>bierze początek z mokradła położonego w okolicach wsi Czaple Nowe i do jeziora Lubieńskiego płynie głównie przez bagna i mokradła. W okolicy wsi Łagiewniki przyjmuje prawoboczną Rakutówkę, która odwadnia znaczną część Gostynińsko-Włocławskiego Parku Krajobrazowego. Długość Lubieńki wynosi 48,2 km i jest prawostronnym dopływem Zgłowiączki. W strukturze użytkowania zlewni o powierzchni 441,8 km</w:t>
      </w:r>
      <w:r w:rsidRPr="00AD2664">
        <w:rPr>
          <w:vertAlign w:val="superscript"/>
        </w:rPr>
        <w:t>2</w:t>
      </w:r>
      <w:r w:rsidRPr="00AD2664">
        <w:t xml:space="preserve"> dominują grunty orne. Rzeka w górnym biegu jest odbiornikiem ścieków z Lubienia Kujawskiego, natomiast w środkowym biegu przyjmuje ścieki socjalno-bytowe oczyszczone mechaniczno-biologicznie z Domu Pomocy Społecznej w Rzeżewie i Wilkowiczkach. </w:t>
      </w:r>
    </w:p>
    <w:p w:rsidR="00AD2664" w:rsidRPr="00AD2664" w:rsidRDefault="00AD2664" w:rsidP="00AD2664">
      <w:pPr>
        <w:spacing w:line="360" w:lineRule="auto"/>
        <w:jc w:val="both"/>
      </w:pPr>
      <w:r w:rsidRPr="00AD2664">
        <w:t xml:space="preserve">Lubieńka podzielona jest na dwie jednolite części wód, a w 2015 roku zlokalizowano na ich zamknięciach dwa stanowiska pomiarowo-kontrolne. </w:t>
      </w:r>
    </w:p>
    <w:p w:rsidR="00AD2664" w:rsidRPr="00AD2664" w:rsidRDefault="00AD2664" w:rsidP="00AD2664">
      <w:pPr>
        <w:spacing w:line="360" w:lineRule="auto"/>
        <w:jc w:val="both"/>
      </w:pPr>
      <w:r w:rsidRPr="00AD2664">
        <w:t>Pierwsze stanowisko znajduje się w miejscowości Łagiewniki, gdzie wykonano oznaczenie organizmów fitobentosowych i makrobezkręgowców bentosowych. W wyniku analizy biologicznej wody Lubieńki sklasyfikowano w III klasie. Badane wskaźniki fizykochemiczne notowano w II klasie. Stwierdzono tu wody umiarkowany stan ekologiczny.</w:t>
      </w:r>
    </w:p>
    <w:p w:rsidR="00AD2664" w:rsidRPr="00AD2664" w:rsidRDefault="00AD2664" w:rsidP="00AD2664">
      <w:pPr>
        <w:spacing w:line="360" w:lineRule="auto"/>
        <w:jc w:val="both"/>
      </w:pPr>
      <w:r w:rsidRPr="00AD2664">
        <w:t>Przy ujściu do Zgłowiączki oznaczono fitobentos, który określił wody w dobrym stanie biologicznym. Wszystkie stężenia wskaźników fizykochemicznych nie przekroczyły norm dla II klasy. Stwierdzono tu wody w dobrym stanie ekologicznym.</w:t>
      </w:r>
    </w:p>
    <w:p w:rsidR="00AD2664" w:rsidRPr="00AD2664" w:rsidRDefault="00AD2664" w:rsidP="00AD2664">
      <w:pPr>
        <w:spacing w:line="360" w:lineRule="auto"/>
        <w:jc w:val="both"/>
      </w:pPr>
      <w:r w:rsidRPr="00AD2664">
        <w:t>W porównaniu z badaniami z 2012 roku stężenia średnioroczne analizowanych parametrów wykazywały poprawę.</w:t>
      </w:r>
    </w:p>
    <w:p w:rsidR="00AD2664" w:rsidRPr="00AD2664" w:rsidRDefault="00AD2664" w:rsidP="00AD2664">
      <w:pPr>
        <w:tabs>
          <w:tab w:val="num" w:pos="-3960"/>
        </w:tabs>
        <w:spacing w:line="360" w:lineRule="auto"/>
        <w:jc w:val="both"/>
        <w:rPr>
          <w:b/>
          <w:i/>
        </w:rPr>
      </w:pPr>
    </w:p>
    <w:p w:rsidR="00AD2664" w:rsidRPr="00AD2664" w:rsidRDefault="00AD2664" w:rsidP="00AD2664">
      <w:pPr>
        <w:tabs>
          <w:tab w:val="num" w:pos="-3960"/>
        </w:tabs>
        <w:spacing w:line="360" w:lineRule="auto"/>
        <w:jc w:val="both"/>
      </w:pPr>
      <w:r w:rsidRPr="00AD2664">
        <w:rPr>
          <w:b/>
          <w:i/>
        </w:rPr>
        <w:t>Rakutówka</w:t>
      </w:r>
      <w:r w:rsidRPr="00AD2664">
        <w:t xml:space="preserve"> jest prawobrzeżnym dopływem Lubieńki. Całkowita jej długość wynosi 38,8 km, z czego 27,2 km rzeki znajduje się na obszarze województwa kujawsko-pomorskiego. </w:t>
      </w:r>
      <w:r w:rsidRPr="00AD2664">
        <w:lastRenderedPageBreak/>
        <w:t>Zlewnia zajmuje powierzchnię 282,6 km</w:t>
      </w:r>
      <w:r w:rsidRPr="00AD2664">
        <w:rPr>
          <w:vertAlign w:val="superscript"/>
        </w:rPr>
        <w:t>2</w:t>
      </w:r>
      <w:r w:rsidRPr="00AD2664">
        <w:t>, w tym 245,3 km</w:t>
      </w:r>
      <w:r w:rsidRPr="00AD2664">
        <w:rPr>
          <w:vertAlign w:val="superscript"/>
        </w:rPr>
        <w:t>2</w:t>
      </w:r>
      <w:r w:rsidRPr="00AD2664">
        <w:t xml:space="preserve"> w granicach naszego województwa. Rzeka wypływa z jeziora Kocioł, leżącego w okolicach miejscowości Gostynin. Na odcinku od jeziora Trzebowskiego do jeziora Rakutowskiego rzeka przepływa przez tereny bagienne zwane Niecką Kłócieńską. Obszar dorzecza Rakutówki w znacznej części znajduje się w granicach Gostynińsko-Włocławskiego Parku Krajobrazowego. W całej zlewni zlokalizowane są nieliczne źródła zanieczyszczeń. Do Rakutówki trafiają mechaniczno-biologicznie oczyszczone ścieki z oczyszczalni w Baruchowie, Rakutowie i Kowalu.</w:t>
      </w:r>
    </w:p>
    <w:p w:rsidR="00AD2664" w:rsidRPr="00AD2664" w:rsidRDefault="00AD2664" w:rsidP="00AD2664">
      <w:pPr>
        <w:tabs>
          <w:tab w:val="num" w:pos="-3960"/>
        </w:tabs>
        <w:spacing w:line="360" w:lineRule="auto"/>
        <w:jc w:val="both"/>
      </w:pPr>
      <w:r w:rsidRPr="00AD2664">
        <w:t>W 2015 roku monitoringiem objęto dwa stanowiska pomiarowo-kontrolne. Pierwsze zlokalizowane poniżej jeziora Rakutowskiego, a drugie przy ujściu rzeki do Lubieńki.</w:t>
      </w:r>
    </w:p>
    <w:p w:rsidR="00AD2664" w:rsidRPr="00AD2664" w:rsidRDefault="00AD2664" w:rsidP="00AD2664">
      <w:pPr>
        <w:spacing w:line="360" w:lineRule="auto"/>
        <w:jc w:val="both"/>
      </w:pPr>
      <w:r w:rsidRPr="00AD2664">
        <w:t>Monitoring wód poniżej jeziora Rakutowskiego trwał zaledwie sześć miesięcy, gdyż susza hydrologiczna spowodowała znaczne obniżenie stanu wód i od lipca do końca roku nie stwierdzono wypływu wód Rakutówki z jeziora. Badane elementy biologiczne (makrofity i organizmy bentosowe) były w III klasie. Wskaźniki fizykochemiczne notowano poniżej stanu dobrego. Stwierdzono tu umiarkowany stan ekologiczny. Z powodu suszy nie udało się sklasyfikować wskaźników szczególnie szkodliwych dla środowiska wodnego (substancji priorytetowych) oraz innych substancji zanieczyszczających, gdyż aby określić stan chemiczny należy wykonać 12 poborów i analiz wody w roku.</w:t>
      </w:r>
    </w:p>
    <w:p w:rsidR="00AD2664" w:rsidRPr="00AD2664" w:rsidRDefault="00AD2664" w:rsidP="00AD2664">
      <w:pPr>
        <w:spacing w:line="360" w:lineRule="auto"/>
        <w:jc w:val="both"/>
      </w:pPr>
      <w:r w:rsidRPr="00AD2664">
        <w:t>Przy ujściu rzeki do Lubieńki oznaczone organizmy fitobentosowe były w II klasie. Wszystkie analizowane parametry fizykochemiczne nie przekroczyły norm dla stanu dobrego wód. Na tym stanowisku stwierdzono dobry stan ekologiczny wód. Analizie poddano również ponad 30 wskaźników szczególnie szkodliwych dla środowiska wodnego (substancje priorytetowe) oraz innych substancji zanieczyszczających. Stan chemiczny określono jako dobry.</w:t>
      </w:r>
    </w:p>
    <w:p w:rsidR="00AD2664" w:rsidRPr="00AD2664" w:rsidRDefault="00AD2664" w:rsidP="00AD2664">
      <w:pPr>
        <w:tabs>
          <w:tab w:val="num" w:pos="-3960"/>
        </w:tabs>
        <w:spacing w:line="360" w:lineRule="auto"/>
        <w:jc w:val="both"/>
      </w:pPr>
      <w:r w:rsidRPr="00AD2664">
        <w:t xml:space="preserve">Analizując wartości średnioroczne z badaniami z 2012 roku stwierdzić należy poprawę </w:t>
      </w:r>
      <w:r w:rsidRPr="00AD2664">
        <w:br/>
        <w:t>w zakresie parametrów fizykochemicznych.</w:t>
      </w:r>
    </w:p>
    <w:p w:rsidR="00AD2664" w:rsidRPr="00AD2664" w:rsidRDefault="00AD2664" w:rsidP="00AD2664"/>
    <w:p w:rsidR="00AD2664" w:rsidRDefault="00AD2664">
      <w:pPr>
        <w:spacing w:after="200" w:line="276" w:lineRule="auto"/>
        <w:rPr>
          <w:b/>
          <w:i/>
        </w:rPr>
      </w:pPr>
      <w:r>
        <w:rPr>
          <w:b/>
          <w:i/>
        </w:rPr>
        <w:br w:type="page"/>
      </w:r>
    </w:p>
    <w:p w:rsidR="00AD2664" w:rsidRPr="00AD2664" w:rsidRDefault="00AD2664" w:rsidP="00AD2664">
      <w:pPr>
        <w:jc w:val="center"/>
        <w:outlineLvl w:val="0"/>
        <w:rPr>
          <w:b/>
          <w:i/>
        </w:rPr>
      </w:pPr>
      <w:r w:rsidRPr="00AD2664">
        <w:rPr>
          <w:b/>
          <w:i/>
        </w:rPr>
        <w:lastRenderedPageBreak/>
        <w:t>Ocena stanu czystości rzek województwa kujawsko-pomorskiego w 2015 roku</w:t>
      </w:r>
    </w:p>
    <w:p w:rsidR="00AD2664" w:rsidRPr="00AD2664" w:rsidRDefault="00AD2664" w:rsidP="00AD2664">
      <w:pPr>
        <w:outlineLvl w:val="0"/>
        <w:rPr>
          <w:rFonts w:ascii="Arial" w:hAnsi="Arial" w:cs="Arial"/>
          <w:i/>
          <w:sz w:val="20"/>
          <w:szCs w:val="20"/>
        </w:rPr>
      </w:pPr>
    </w:p>
    <w:tbl>
      <w:tblPr>
        <w:tblW w:w="9753"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2548"/>
        <w:gridCol w:w="567"/>
        <w:gridCol w:w="890"/>
        <w:gridCol w:w="1327"/>
        <w:gridCol w:w="498"/>
        <w:gridCol w:w="760"/>
        <w:gridCol w:w="675"/>
        <w:gridCol w:w="710"/>
      </w:tblGrid>
      <w:tr w:rsidR="00AD2664" w:rsidRPr="00AD2664" w:rsidTr="002A5484">
        <w:trPr>
          <w:cantSplit/>
          <w:trHeight w:val="1666"/>
          <w:jc w:val="center"/>
        </w:trPr>
        <w:tc>
          <w:tcPr>
            <w:tcW w:w="1778" w:type="dxa"/>
            <w:tcBorders>
              <w:top w:val="single" w:sz="12" w:space="0" w:color="auto"/>
              <w:left w:val="single" w:sz="12" w:space="0" w:color="auto"/>
              <w:bottom w:val="single" w:sz="12" w:space="0" w:color="auto"/>
              <w:right w:val="single" w:sz="12" w:space="0" w:color="auto"/>
            </w:tcBorders>
            <w:shd w:val="clear" w:color="auto" w:fill="FFFFFF"/>
            <w:vAlign w:val="center"/>
          </w:tcPr>
          <w:p w:rsidR="00AD2664" w:rsidRPr="00AD2664" w:rsidRDefault="00AD2664" w:rsidP="00AD2664">
            <w:pPr>
              <w:jc w:val="center"/>
              <w:rPr>
                <w:b/>
                <w:sz w:val="16"/>
                <w:szCs w:val="16"/>
              </w:rPr>
            </w:pPr>
            <w:r w:rsidRPr="00AD2664">
              <w:rPr>
                <w:b/>
                <w:sz w:val="16"/>
                <w:szCs w:val="16"/>
              </w:rPr>
              <w:t>Nazwa cieku</w:t>
            </w:r>
          </w:p>
        </w:tc>
        <w:tc>
          <w:tcPr>
            <w:tcW w:w="2548" w:type="dxa"/>
            <w:tcBorders>
              <w:top w:val="single" w:sz="12" w:space="0" w:color="auto"/>
              <w:left w:val="single" w:sz="12" w:space="0" w:color="auto"/>
              <w:bottom w:val="single" w:sz="12" w:space="0" w:color="auto"/>
              <w:right w:val="single" w:sz="12" w:space="0" w:color="auto"/>
            </w:tcBorders>
            <w:shd w:val="clear" w:color="auto" w:fill="FFFFFF"/>
            <w:vAlign w:val="center"/>
          </w:tcPr>
          <w:p w:rsidR="00AD2664" w:rsidRPr="00AD2664" w:rsidRDefault="00AD2664" w:rsidP="00AD2664">
            <w:pPr>
              <w:jc w:val="center"/>
              <w:rPr>
                <w:b/>
                <w:sz w:val="16"/>
                <w:szCs w:val="16"/>
              </w:rPr>
            </w:pPr>
            <w:r w:rsidRPr="00AD2664">
              <w:rPr>
                <w:b/>
                <w:sz w:val="16"/>
                <w:szCs w:val="16"/>
              </w:rPr>
              <w:t>Lokalizacja stanowiska</w:t>
            </w:r>
          </w:p>
        </w:tc>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AD2664" w:rsidRPr="00AD2664" w:rsidRDefault="00AD2664" w:rsidP="00AD2664">
            <w:pPr>
              <w:jc w:val="center"/>
              <w:rPr>
                <w:b/>
                <w:sz w:val="16"/>
                <w:szCs w:val="16"/>
              </w:rPr>
            </w:pPr>
            <w:r w:rsidRPr="00AD2664">
              <w:rPr>
                <w:b/>
                <w:sz w:val="16"/>
                <w:szCs w:val="16"/>
              </w:rPr>
              <w:t>km</w:t>
            </w:r>
          </w:p>
          <w:p w:rsidR="00AD2664" w:rsidRPr="00AD2664" w:rsidRDefault="00AD2664" w:rsidP="00AD2664">
            <w:pPr>
              <w:jc w:val="center"/>
              <w:rPr>
                <w:b/>
                <w:sz w:val="16"/>
                <w:szCs w:val="16"/>
              </w:rPr>
            </w:pPr>
            <w:r w:rsidRPr="00AD2664">
              <w:rPr>
                <w:b/>
                <w:sz w:val="16"/>
                <w:szCs w:val="16"/>
              </w:rPr>
              <w:t>rzeki</w:t>
            </w:r>
          </w:p>
        </w:tc>
        <w:tc>
          <w:tcPr>
            <w:tcW w:w="890"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jc w:val="center"/>
              <w:rPr>
                <w:b/>
                <w:sz w:val="16"/>
                <w:szCs w:val="16"/>
              </w:rPr>
            </w:pPr>
            <w:r w:rsidRPr="00AD2664">
              <w:rPr>
                <w:b/>
                <w:sz w:val="16"/>
                <w:szCs w:val="16"/>
              </w:rPr>
              <w:t>Ocena biologiczna</w:t>
            </w:r>
          </w:p>
        </w:tc>
        <w:tc>
          <w:tcPr>
            <w:tcW w:w="1327"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jc w:val="center"/>
              <w:rPr>
                <w:b/>
                <w:sz w:val="16"/>
                <w:szCs w:val="16"/>
              </w:rPr>
            </w:pPr>
            <w:r w:rsidRPr="00AD2664">
              <w:rPr>
                <w:b/>
                <w:sz w:val="16"/>
                <w:szCs w:val="16"/>
              </w:rPr>
              <w:t>Ocena fizykochemiczna</w:t>
            </w:r>
          </w:p>
        </w:tc>
        <w:tc>
          <w:tcPr>
            <w:tcW w:w="498"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jc w:val="center"/>
              <w:rPr>
                <w:b/>
                <w:bCs/>
                <w:caps/>
                <w:sz w:val="16"/>
                <w:szCs w:val="16"/>
              </w:rPr>
            </w:pPr>
            <w:r w:rsidRPr="00AD2664">
              <w:rPr>
                <w:b/>
                <w:sz w:val="16"/>
                <w:szCs w:val="16"/>
              </w:rPr>
              <w:t>Ocena morfologiczna</w:t>
            </w:r>
          </w:p>
        </w:tc>
        <w:tc>
          <w:tcPr>
            <w:tcW w:w="760"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jc w:val="center"/>
              <w:rPr>
                <w:b/>
                <w:bCs/>
                <w:sz w:val="16"/>
                <w:szCs w:val="16"/>
              </w:rPr>
            </w:pPr>
            <w:r w:rsidRPr="00AD2664">
              <w:rPr>
                <w:b/>
                <w:bCs/>
                <w:caps/>
                <w:sz w:val="16"/>
                <w:szCs w:val="16"/>
              </w:rPr>
              <w:t>STAN/potencał EKOlOGICZNy</w:t>
            </w:r>
          </w:p>
        </w:tc>
        <w:tc>
          <w:tcPr>
            <w:tcW w:w="675"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jc w:val="center"/>
              <w:rPr>
                <w:b/>
                <w:bCs/>
                <w:sz w:val="16"/>
                <w:szCs w:val="16"/>
              </w:rPr>
            </w:pPr>
            <w:r w:rsidRPr="00AD2664">
              <w:rPr>
                <w:b/>
                <w:bCs/>
                <w:sz w:val="16"/>
                <w:szCs w:val="16"/>
              </w:rPr>
              <w:t>STAN CHEMICZNY</w:t>
            </w:r>
          </w:p>
        </w:tc>
        <w:tc>
          <w:tcPr>
            <w:tcW w:w="710" w:type="dxa"/>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AD2664" w:rsidRPr="00AD2664" w:rsidRDefault="00AD2664" w:rsidP="00AD2664">
            <w:pPr>
              <w:ind w:right="113"/>
              <w:jc w:val="center"/>
              <w:rPr>
                <w:b/>
                <w:sz w:val="16"/>
                <w:szCs w:val="16"/>
              </w:rPr>
            </w:pPr>
            <w:r w:rsidRPr="00AD2664">
              <w:rPr>
                <w:b/>
                <w:sz w:val="16"/>
                <w:szCs w:val="16"/>
              </w:rPr>
              <w:t>Ocena</w:t>
            </w:r>
          </w:p>
          <w:p w:rsidR="00AD2664" w:rsidRPr="00AD2664" w:rsidRDefault="00AD2664" w:rsidP="00AD2664">
            <w:pPr>
              <w:ind w:right="113"/>
              <w:jc w:val="center"/>
              <w:rPr>
                <w:b/>
                <w:sz w:val="16"/>
                <w:szCs w:val="16"/>
              </w:rPr>
            </w:pPr>
            <w:r w:rsidRPr="00AD2664">
              <w:rPr>
                <w:b/>
                <w:sz w:val="16"/>
                <w:szCs w:val="16"/>
              </w:rPr>
              <w:t>bakteriologiczna</w:t>
            </w:r>
          </w:p>
        </w:tc>
      </w:tr>
      <w:tr w:rsidR="00AD2664" w:rsidRPr="00AD2664" w:rsidTr="002A5484">
        <w:trPr>
          <w:cantSplit/>
          <w:jc w:val="center"/>
        </w:trPr>
        <w:tc>
          <w:tcPr>
            <w:tcW w:w="1778" w:type="dxa"/>
            <w:vMerge w:val="restart"/>
            <w:tcBorders>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r w:rsidRPr="00AD2664">
              <w:rPr>
                <w:b/>
                <w:sz w:val="16"/>
                <w:szCs w:val="16"/>
                <w:lang w:val="de-DE"/>
              </w:rPr>
              <w:t>Zgłowiączka</w:t>
            </w: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poniżej Lubrańca, Lubraniec</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32,8</w:t>
            </w:r>
          </w:p>
        </w:tc>
        <w:tc>
          <w:tcPr>
            <w:tcW w:w="890" w:type="dxa"/>
            <w:tcBorders>
              <w:top w:val="single" w:sz="12" w:space="0" w:color="auto"/>
              <w:left w:val="single" w:sz="12" w:space="0" w:color="auto"/>
              <w:bottom w:val="single" w:sz="12" w:space="0" w:color="auto"/>
              <w:right w:val="single" w:sz="12" w:space="0" w:color="auto"/>
            </w:tcBorders>
            <w:shd w:val="clear" w:color="auto" w:fill="C6D9F1"/>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FFFF99"/>
            <w:vAlign w:val="center"/>
          </w:tcPr>
          <w:p w:rsidR="00AD2664" w:rsidRPr="00AD2664" w:rsidRDefault="00AD2664" w:rsidP="00AD2664">
            <w:pPr>
              <w:rPr>
                <w:color w:val="000000"/>
                <w:sz w:val="16"/>
                <w:szCs w:val="16"/>
                <w:lang w:val="en-US"/>
              </w:rPr>
            </w:pPr>
            <w:r w:rsidRPr="00AD2664">
              <w:rPr>
                <w:color w:val="000000"/>
                <w:sz w:val="16"/>
                <w:szCs w:val="16"/>
                <w:lang w:val="en-US"/>
              </w:rPr>
              <w:t>SR,PO</w:t>
            </w:r>
            <w:r w:rsidRPr="00AD2664">
              <w:rPr>
                <w:color w:val="000000"/>
                <w:sz w:val="16"/>
                <w:szCs w:val="16"/>
                <w:vertAlign w:val="subscript"/>
                <w:lang w:val="en-US"/>
              </w:rPr>
              <w:t>4</w:t>
            </w:r>
            <w:r w:rsidRPr="00AD2664">
              <w:rPr>
                <w:color w:val="000000"/>
                <w:sz w:val="16"/>
                <w:szCs w:val="16"/>
                <w:lang w:val="en-US"/>
              </w:rPr>
              <w:t>,P</w:t>
            </w: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FFFF00"/>
            <w:vAlign w:val="center"/>
          </w:tcPr>
          <w:p w:rsidR="00AD2664" w:rsidRPr="00AD2664" w:rsidRDefault="00AD2664" w:rsidP="00AD2664">
            <w:pPr>
              <w:jc w:val="center"/>
              <w:rPr>
                <w:b/>
                <w:bCs/>
                <w:color w:val="000000"/>
                <w:sz w:val="16"/>
                <w:szCs w:val="16"/>
              </w:rPr>
            </w:pPr>
            <w:r w:rsidRPr="00AD2664">
              <w:rPr>
                <w:b/>
                <w:bCs/>
                <w:color w:val="000000"/>
                <w:sz w:val="16"/>
                <w:szCs w:val="16"/>
              </w:rPr>
              <w:t>umiark</w:t>
            </w:r>
          </w:p>
        </w:tc>
        <w:tc>
          <w:tcPr>
            <w:tcW w:w="675"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zła</w:t>
            </w:r>
          </w:p>
        </w:tc>
      </w:tr>
      <w:tr w:rsidR="00AD2664" w:rsidRPr="00AD2664" w:rsidTr="002A5484">
        <w:trPr>
          <w:cantSplit/>
          <w:jc w:val="center"/>
        </w:trPr>
        <w:tc>
          <w:tcPr>
            <w:tcW w:w="1778" w:type="dxa"/>
            <w:vMerge/>
            <w:tcBorders>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Józefowo</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7,2</w:t>
            </w:r>
          </w:p>
        </w:tc>
        <w:tc>
          <w:tcPr>
            <w:tcW w:w="890" w:type="dxa"/>
            <w:tcBorders>
              <w:top w:val="single" w:sz="12" w:space="0" w:color="auto"/>
              <w:left w:val="single" w:sz="12" w:space="0" w:color="auto"/>
              <w:bottom w:val="single" w:sz="12" w:space="0" w:color="auto"/>
              <w:right w:val="single" w:sz="12" w:space="0" w:color="auto"/>
            </w:tcBorders>
            <w:shd w:val="clear" w:color="auto" w:fill="C6D9F1"/>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FFFF99"/>
            <w:vAlign w:val="center"/>
          </w:tcPr>
          <w:p w:rsidR="00AD2664" w:rsidRPr="00AD2664" w:rsidRDefault="00AD2664" w:rsidP="00AD2664">
            <w:pPr>
              <w:rPr>
                <w:color w:val="000000"/>
                <w:sz w:val="16"/>
                <w:szCs w:val="16"/>
                <w:lang w:val="en-US"/>
              </w:rPr>
            </w:pPr>
            <w:r w:rsidRPr="00AD2664">
              <w:rPr>
                <w:color w:val="000000"/>
                <w:sz w:val="16"/>
                <w:szCs w:val="16"/>
                <w:lang w:val="en-US"/>
              </w:rPr>
              <w:t>PO</w:t>
            </w:r>
            <w:r w:rsidRPr="00AD2664">
              <w:rPr>
                <w:color w:val="000000"/>
                <w:sz w:val="16"/>
                <w:szCs w:val="16"/>
                <w:vertAlign w:val="subscript"/>
                <w:lang w:val="en-US"/>
              </w:rPr>
              <w:t>4</w:t>
            </w:r>
            <w:r w:rsidRPr="00AD2664">
              <w:rPr>
                <w:color w:val="000000"/>
                <w:sz w:val="16"/>
                <w:szCs w:val="16"/>
                <w:lang w:val="en-US"/>
              </w:rPr>
              <w:t>,P</w:t>
            </w: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FFFF00"/>
            <w:vAlign w:val="center"/>
          </w:tcPr>
          <w:p w:rsidR="00AD2664" w:rsidRPr="00AD2664" w:rsidRDefault="00AD2664" w:rsidP="00AD2664">
            <w:pPr>
              <w:jc w:val="center"/>
              <w:rPr>
                <w:b/>
                <w:bCs/>
                <w:color w:val="000000"/>
                <w:sz w:val="16"/>
                <w:szCs w:val="16"/>
              </w:rPr>
            </w:pPr>
            <w:r w:rsidRPr="00AD2664">
              <w:rPr>
                <w:b/>
                <w:bCs/>
                <w:color w:val="000000"/>
                <w:sz w:val="16"/>
                <w:szCs w:val="16"/>
              </w:rPr>
              <w:t>umiark</w:t>
            </w:r>
          </w:p>
        </w:tc>
        <w:tc>
          <w:tcPr>
            <w:tcW w:w="675"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val="restart"/>
            <w:tcBorders>
              <w:top w:val="single" w:sz="12" w:space="0" w:color="auto"/>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r w:rsidRPr="00AD2664">
              <w:rPr>
                <w:b/>
                <w:sz w:val="16"/>
                <w:szCs w:val="16"/>
                <w:lang w:val="de-DE"/>
              </w:rPr>
              <w:t>Chodeczka</w:t>
            </w: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Borzymowice</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16,0</w:t>
            </w:r>
          </w:p>
        </w:tc>
        <w:tc>
          <w:tcPr>
            <w:tcW w:w="890" w:type="dxa"/>
            <w:tcBorders>
              <w:top w:val="single" w:sz="12" w:space="0" w:color="auto"/>
              <w:left w:val="single" w:sz="12" w:space="0" w:color="auto"/>
              <w:bottom w:val="single" w:sz="12" w:space="0" w:color="auto"/>
              <w:right w:val="single" w:sz="12" w:space="0" w:color="auto"/>
            </w:tcBorders>
            <w:shd w:val="clear" w:color="auto" w:fill="C6D9F1"/>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CCFFCC"/>
            <w:vAlign w:val="center"/>
          </w:tcPr>
          <w:p w:rsidR="00AD2664" w:rsidRPr="00AD2664" w:rsidRDefault="00AD2664" w:rsidP="00AD2664">
            <w:pPr>
              <w:rPr>
                <w:color w:val="000000"/>
                <w:sz w:val="16"/>
                <w:szCs w:val="16"/>
                <w:lang w:val="en-US"/>
              </w:rPr>
            </w:pP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00FF0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tcBorders>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ujście do Zgłowiączki, Ossowo</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0,7</w:t>
            </w:r>
          </w:p>
        </w:tc>
        <w:tc>
          <w:tcPr>
            <w:tcW w:w="890" w:type="dxa"/>
            <w:tcBorders>
              <w:top w:val="single" w:sz="12" w:space="0" w:color="auto"/>
              <w:left w:val="single" w:sz="12" w:space="0" w:color="auto"/>
              <w:bottom w:val="single" w:sz="12" w:space="0" w:color="auto"/>
              <w:right w:val="single" w:sz="12" w:space="0" w:color="auto"/>
            </w:tcBorders>
            <w:shd w:val="clear" w:color="auto" w:fill="C6D9F1"/>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CCFFCC"/>
            <w:vAlign w:val="center"/>
          </w:tcPr>
          <w:p w:rsidR="00AD2664" w:rsidRPr="00AD2664" w:rsidRDefault="00AD2664" w:rsidP="00AD2664">
            <w:pPr>
              <w:rPr>
                <w:color w:val="000000"/>
                <w:sz w:val="16"/>
                <w:szCs w:val="16"/>
                <w:lang w:val="en-US"/>
              </w:rPr>
            </w:pP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00FF0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675" w:type="dxa"/>
            <w:tcBorders>
              <w:top w:val="single" w:sz="12" w:space="0" w:color="auto"/>
              <w:left w:val="single" w:sz="12" w:space="0" w:color="auto"/>
              <w:bottom w:val="single" w:sz="12" w:space="0" w:color="auto"/>
              <w:right w:val="single" w:sz="12" w:space="0" w:color="auto"/>
            </w:tcBorders>
            <w:shd w:val="clear" w:color="auto" w:fill="00B0F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val="restart"/>
            <w:tcBorders>
              <w:top w:val="single" w:sz="12" w:space="0" w:color="auto"/>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r w:rsidRPr="00AD2664">
              <w:rPr>
                <w:b/>
                <w:sz w:val="16"/>
                <w:szCs w:val="16"/>
                <w:lang w:val="de-DE"/>
              </w:rPr>
              <w:t>Lubieńka</w:t>
            </w: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Łagiewniki</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10,8</w:t>
            </w:r>
          </w:p>
        </w:tc>
        <w:tc>
          <w:tcPr>
            <w:tcW w:w="890" w:type="dxa"/>
            <w:tcBorders>
              <w:top w:val="single" w:sz="12" w:space="0" w:color="auto"/>
              <w:left w:val="single" w:sz="12" w:space="0" w:color="auto"/>
              <w:bottom w:val="single" w:sz="12" w:space="0" w:color="auto"/>
              <w:right w:val="single" w:sz="12" w:space="0" w:color="auto"/>
            </w:tcBorders>
            <w:shd w:val="clear" w:color="auto" w:fill="FFFF99"/>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IO,MMI</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CCFFCC"/>
            <w:vAlign w:val="center"/>
          </w:tcPr>
          <w:p w:rsidR="00AD2664" w:rsidRPr="00AD2664" w:rsidRDefault="00AD2664" w:rsidP="00AD2664">
            <w:pPr>
              <w:rPr>
                <w:color w:val="000000"/>
                <w:sz w:val="16"/>
                <w:szCs w:val="16"/>
                <w:lang w:val="en-US"/>
              </w:rPr>
            </w:pP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FFFF00"/>
            <w:vAlign w:val="center"/>
          </w:tcPr>
          <w:p w:rsidR="00AD2664" w:rsidRPr="00AD2664" w:rsidRDefault="00AD2664" w:rsidP="00AD2664">
            <w:pPr>
              <w:jc w:val="center"/>
              <w:rPr>
                <w:b/>
                <w:bCs/>
                <w:color w:val="000000"/>
                <w:sz w:val="16"/>
                <w:szCs w:val="16"/>
              </w:rPr>
            </w:pPr>
            <w:r w:rsidRPr="00AD2664">
              <w:rPr>
                <w:b/>
                <w:bCs/>
                <w:color w:val="000000"/>
                <w:sz w:val="16"/>
                <w:szCs w:val="16"/>
              </w:rPr>
              <w:t>umiark</w:t>
            </w:r>
          </w:p>
        </w:tc>
        <w:tc>
          <w:tcPr>
            <w:tcW w:w="675"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tcBorders>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p>
        </w:tc>
        <w:tc>
          <w:tcPr>
            <w:tcW w:w="2548"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ujście do Zgłowiączki, Józefowo</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0,5</w:t>
            </w:r>
          </w:p>
        </w:tc>
        <w:tc>
          <w:tcPr>
            <w:tcW w:w="890"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CCFFCC"/>
            <w:vAlign w:val="center"/>
          </w:tcPr>
          <w:p w:rsidR="00AD2664" w:rsidRPr="00AD2664" w:rsidRDefault="00AD2664" w:rsidP="00AD2664">
            <w:pPr>
              <w:rPr>
                <w:color w:val="000000"/>
                <w:sz w:val="16"/>
                <w:szCs w:val="16"/>
                <w:lang w:val="en-US"/>
              </w:rPr>
            </w:pP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00FF0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val="restart"/>
            <w:tcBorders>
              <w:top w:val="single" w:sz="12" w:space="0" w:color="auto"/>
              <w:left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r w:rsidRPr="00AD2664">
              <w:rPr>
                <w:b/>
                <w:sz w:val="16"/>
                <w:szCs w:val="16"/>
                <w:lang w:val="de-DE"/>
              </w:rPr>
              <w:t>Rakutówka</w:t>
            </w:r>
          </w:p>
        </w:tc>
        <w:tc>
          <w:tcPr>
            <w:tcW w:w="2548"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poniżej jez. Rakutowskiego, Dębniaki</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15,0</w:t>
            </w:r>
          </w:p>
        </w:tc>
        <w:tc>
          <w:tcPr>
            <w:tcW w:w="890" w:type="dxa"/>
            <w:tcBorders>
              <w:top w:val="single" w:sz="12" w:space="0" w:color="auto"/>
              <w:left w:val="single" w:sz="12" w:space="0" w:color="auto"/>
              <w:bottom w:val="single" w:sz="12" w:space="0" w:color="auto"/>
              <w:right w:val="single" w:sz="12" w:space="0" w:color="auto"/>
            </w:tcBorders>
            <w:shd w:val="clear" w:color="auto" w:fill="FFFF99"/>
            <w:vAlign w:val="center"/>
          </w:tcPr>
          <w:p w:rsidR="00AD2664" w:rsidRPr="00AD2664" w:rsidRDefault="00AD2664" w:rsidP="00AD2664">
            <w:pPr>
              <w:jc w:val="center"/>
              <w:rPr>
                <w:color w:val="000000"/>
                <w:sz w:val="16"/>
                <w:szCs w:val="16"/>
                <w:lang w:val="en-US"/>
              </w:rPr>
            </w:pPr>
            <w:r w:rsidRPr="00AD2664">
              <w:rPr>
                <w:color w:val="000000"/>
                <w:sz w:val="16"/>
                <w:szCs w:val="16"/>
                <w:lang w:val="en-US"/>
              </w:rPr>
              <w:t>MIR,MMI</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FFFF99"/>
            <w:vAlign w:val="center"/>
          </w:tcPr>
          <w:p w:rsidR="00AD2664" w:rsidRPr="00AD2664" w:rsidRDefault="00AD2664" w:rsidP="00AD2664">
            <w:pPr>
              <w:rPr>
                <w:color w:val="000000"/>
                <w:sz w:val="16"/>
                <w:szCs w:val="16"/>
                <w:lang w:val="en-US"/>
              </w:rPr>
            </w:pPr>
            <w:r w:rsidRPr="00AD2664">
              <w:rPr>
                <w:color w:val="000000"/>
                <w:sz w:val="16"/>
                <w:szCs w:val="16"/>
                <w:lang w:val="en-US"/>
              </w:rPr>
              <w:t>ChZT-Mn, OWO,ChZT-Cr</w:t>
            </w: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FFFF00"/>
            <w:vAlign w:val="center"/>
          </w:tcPr>
          <w:p w:rsidR="00AD2664" w:rsidRPr="00AD2664" w:rsidRDefault="00AD2664" w:rsidP="00AD2664">
            <w:pPr>
              <w:jc w:val="center"/>
              <w:rPr>
                <w:b/>
                <w:bCs/>
                <w:color w:val="000000"/>
                <w:sz w:val="16"/>
                <w:szCs w:val="16"/>
              </w:rPr>
            </w:pPr>
            <w:r w:rsidRPr="00AD2664">
              <w:rPr>
                <w:b/>
                <w:bCs/>
                <w:color w:val="000000"/>
                <w:sz w:val="16"/>
                <w:szCs w:val="16"/>
              </w:rPr>
              <w:t>umiark</w:t>
            </w:r>
          </w:p>
        </w:tc>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jc w:val="center"/>
              <w:rPr>
                <w:b/>
                <w:bCs/>
                <w:color w:val="000000"/>
                <w:sz w:val="16"/>
                <w:szCs w:val="16"/>
              </w:rPr>
            </w:pPr>
            <w:r w:rsidRPr="00AD2664">
              <w:rPr>
                <w:b/>
                <w:bCs/>
                <w:color w:val="000000"/>
                <w:sz w:val="16"/>
                <w:szCs w:val="16"/>
              </w:rPr>
              <w:t>-</w:t>
            </w:r>
          </w:p>
        </w:tc>
        <w:tc>
          <w:tcPr>
            <w:tcW w:w="710" w:type="dxa"/>
            <w:tcBorders>
              <w:top w:val="single" w:sz="12" w:space="0" w:color="auto"/>
              <w:left w:val="single" w:sz="12" w:space="0" w:color="auto"/>
              <w:bottom w:val="single" w:sz="4"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r w:rsidR="00AD2664" w:rsidRPr="00AD2664" w:rsidTr="002A5484">
        <w:trPr>
          <w:cantSplit/>
          <w:jc w:val="center"/>
        </w:trPr>
        <w:tc>
          <w:tcPr>
            <w:tcW w:w="1778" w:type="dxa"/>
            <w:vMerge/>
            <w:tcBorders>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rPr>
                <w:b/>
                <w:sz w:val="16"/>
                <w:szCs w:val="16"/>
                <w:lang w:val="de-DE"/>
              </w:rPr>
            </w:pPr>
          </w:p>
        </w:tc>
        <w:tc>
          <w:tcPr>
            <w:tcW w:w="2548"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rPr>
                <w:sz w:val="16"/>
                <w:szCs w:val="16"/>
              </w:rPr>
            </w:pPr>
            <w:r w:rsidRPr="00AD2664">
              <w:rPr>
                <w:sz w:val="16"/>
                <w:szCs w:val="16"/>
              </w:rPr>
              <w:t>ujście do Lubieńki, Dębice</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jc w:val="right"/>
              <w:rPr>
                <w:sz w:val="16"/>
                <w:szCs w:val="16"/>
              </w:rPr>
            </w:pPr>
            <w:r w:rsidRPr="00AD2664">
              <w:rPr>
                <w:sz w:val="16"/>
                <w:szCs w:val="16"/>
              </w:rPr>
              <w:t>1,2</w:t>
            </w:r>
          </w:p>
        </w:tc>
        <w:tc>
          <w:tcPr>
            <w:tcW w:w="890"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color w:val="000000"/>
                <w:sz w:val="16"/>
                <w:szCs w:val="16"/>
                <w:lang w:val="en-US"/>
              </w:rPr>
            </w:pPr>
            <w:r w:rsidRPr="00AD2664">
              <w:rPr>
                <w:color w:val="000000"/>
                <w:sz w:val="16"/>
                <w:szCs w:val="16"/>
                <w:lang w:val="en-US"/>
              </w:rPr>
              <w:t>IO</w:t>
            </w:r>
          </w:p>
        </w:tc>
        <w:tc>
          <w:tcPr>
            <w:tcW w:w="1327" w:type="dxa"/>
            <w:tcBorders>
              <w:top w:val="single" w:sz="12" w:space="0" w:color="auto"/>
              <w:left w:val="single" w:sz="12" w:space="0" w:color="auto"/>
              <w:bottom w:val="single" w:sz="12" w:space="0" w:color="auto"/>
              <w:right w:val="single" w:sz="12" w:space="0" w:color="auto"/>
              <w:tr2bl w:val="nil"/>
            </w:tcBorders>
            <w:shd w:val="clear" w:color="auto" w:fill="CCFFCC"/>
            <w:vAlign w:val="center"/>
          </w:tcPr>
          <w:p w:rsidR="00AD2664" w:rsidRPr="00AD2664" w:rsidRDefault="00AD2664" w:rsidP="00AD2664">
            <w:pPr>
              <w:rPr>
                <w:color w:val="000000"/>
                <w:sz w:val="16"/>
                <w:szCs w:val="16"/>
                <w:lang w:val="en-US"/>
              </w:rPr>
            </w:pPr>
          </w:p>
        </w:tc>
        <w:tc>
          <w:tcPr>
            <w:tcW w:w="498" w:type="dxa"/>
            <w:tcBorders>
              <w:top w:val="single" w:sz="12" w:space="0" w:color="auto"/>
              <w:left w:val="single" w:sz="12" w:space="0" w:color="auto"/>
              <w:bottom w:val="single" w:sz="12" w:space="0" w:color="auto"/>
              <w:right w:val="single" w:sz="12" w:space="0" w:color="auto"/>
            </w:tcBorders>
            <w:shd w:val="clear" w:color="auto" w:fill="CCFFCC"/>
            <w:vAlign w:val="center"/>
          </w:tcPr>
          <w:p w:rsidR="00AD2664" w:rsidRPr="00AD2664" w:rsidRDefault="00AD2664" w:rsidP="00AD2664">
            <w:pPr>
              <w:jc w:val="center"/>
              <w:rPr>
                <w:sz w:val="16"/>
                <w:szCs w:val="16"/>
              </w:rPr>
            </w:pPr>
          </w:p>
        </w:tc>
        <w:tc>
          <w:tcPr>
            <w:tcW w:w="760" w:type="dxa"/>
            <w:tcBorders>
              <w:top w:val="single" w:sz="12" w:space="0" w:color="auto"/>
              <w:left w:val="single" w:sz="12" w:space="0" w:color="auto"/>
              <w:bottom w:val="single" w:sz="12" w:space="0" w:color="auto"/>
              <w:right w:val="single" w:sz="12" w:space="0" w:color="auto"/>
            </w:tcBorders>
            <w:shd w:val="clear" w:color="auto" w:fill="00FF0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675" w:type="dxa"/>
            <w:tcBorders>
              <w:top w:val="single" w:sz="12" w:space="0" w:color="auto"/>
              <w:left w:val="single" w:sz="12" w:space="0" w:color="auto"/>
              <w:bottom w:val="single" w:sz="12" w:space="0" w:color="auto"/>
              <w:right w:val="single" w:sz="12" w:space="0" w:color="auto"/>
            </w:tcBorders>
            <w:shd w:val="clear" w:color="auto" w:fill="00B0F0"/>
            <w:vAlign w:val="center"/>
          </w:tcPr>
          <w:p w:rsidR="00AD2664" w:rsidRPr="00AD2664" w:rsidRDefault="00AD2664" w:rsidP="00AD2664">
            <w:pPr>
              <w:jc w:val="center"/>
              <w:rPr>
                <w:b/>
                <w:bCs/>
                <w:color w:val="000000"/>
                <w:sz w:val="16"/>
                <w:szCs w:val="16"/>
              </w:rPr>
            </w:pPr>
            <w:r w:rsidRPr="00AD2664">
              <w:rPr>
                <w:b/>
                <w:bCs/>
                <w:color w:val="000000"/>
                <w:sz w:val="16"/>
                <w:szCs w:val="16"/>
              </w:rPr>
              <w:t>dobry</w:t>
            </w:r>
          </w:p>
        </w:tc>
        <w:tc>
          <w:tcPr>
            <w:tcW w:w="710" w:type="dxa"/>
            <w:tcBorders>
              <w:top w:val="single" w:sz="12" w:space="0" w:color="auto"/>
              <w:left w:val="single" w:sz="12" w:space="0" w:color="auto"/>
              <w:bottom w:val="single" w:sz="12" w:space="0" w:color="auto"/>
              <w:right w:val="single" w:sz="12" w:space="0" w:color="auto"/>
            </w:tcBorders>
            <w:shd w:val="clear" w:color="auto" w:fill="auto"/>
            <w:vAlign w:val="center"/>
          </w:tcPr>
          <w:p w:rsidR="00AD2664" w:rsidRPr="00AD2664" w:rsidRDefault="00AD2664" w:rsidP="00AD2664">
            <w:pPr>
              <w:spacing w:line="360" w:lineRule="auto"/>
              <w:jc w:val="center"/>
              <w:rPr>
                <w:sz w:val="16"/>
                <w:szCs w:val="16"/>
              </w:rPr>
            </w:pPr>
            <w:r w:rsidRPr="00AD2664">
              <w:rPr>
                <w:sz w:val="16"/>
                <w:szCs w:val="16"/>
              </w:rPr>
              <w:t>-</w:t>
            </w:r>
          </w:p>
        </w:tc>
      </w:tr>
    </w:tbl>
    <w:p w:rsidR="00AD2664" w:rsidRPr="00AD2664" w:rsidRDefault="00AD2664" w:rsidP="00AD2664"/>
    <w:p w:rsidR="00AD2664" w:rsidRPr="00AD2664" w:rsidRDefault="00AD2664" w:rsidP="00AD2664"/>
    <w:p w:rsidR="0081670E" w:rsidRDefault="0081670E" w:rsidP="0081670E">
      <w:pPr>
        <w:pStyle w:val="Nagwek2"/>
        <w:numPr>
          <w:ilvl w:val="0"/>
          <w:numId w:val="1"/>
        </w:numPr>
        <w:tabs>
          <w:tab w:val="clear" w:pos="567"/>
          <w:tab w:val="left" w:pos="284"/>
        </w:tabs>
        <w:ind w:hanging="1440"/>
        <w:rPr>
          <w:caps/>
        </w:rPr>
      </w:pPr>
      <w:r>
        <w:rPr>
          <w:caps/>
        </w:rPr>
        <w:t>Jeziora</w:t>
      </w:r>
    </w:p>
    <w:p w:rsidR="0081670E" w:rsidRDefault="0081670E" w:rsidP="0081670E">
      <w:pPr>
        <w:pStyle w:val="Tekstpodstawowy"/>
        <w:spacing w:after="0" w:line="360" w:lineRule="auto"/>
        <w:ind w:firstLine="708"/>
        <w:jc w:val="both"/>
        <w:rPr>
          <w:i/>
        </w:rPr>
      </w:pPr>
      <w:r>
        <w:rPr>
          <w:szCs w:val="18"/>
        </w:rPr>
        <w:t>W 201</w:t>
      </w:r>
      <w:r w:rsidR="006554B3">
        <w:rPr>
          <w:szCs w:val="18"/>
        </w:rPr>
        <w:t>5</w:t>
      </w:r>
      <w:r w:rsidRPr="0029660B">
        <w:rPr>
          <w:szCs w:val="18"/>
        </w:rPr>
        <w:t xml:space="preserve"> roku na terenie powiatu włocławskiego</w:t>
      </w:r>
      <w:r>
        <w:rPr>
          <w:szCs w:val="18"/>
        </w:rPr>
        <w:t xml:space="preserve"> </w:t>
      </w:r>
      <w:r w:rsidRPr="0029660B">
        <w:rPr>
          <w:szCs w:val="18"/>
        </w:rPr>
        <w:t>prowadz</w:t>
      </w:r>
      <w:r>
        <w:rPr>
          <w:szCs w:val="18"/>
        </w:rPr>
        <w:t xml:space="preserve">ono badania </w:t>
      </w:r>
      <w:r w:rsidR="006554B3">
        <w:rPr>
          <w:szCs w:val="18"/>
        </w:rPr>
        <w:t xml:space="preserve">jedynie </w:t>
      </w:r>
      <w:r>
        <w:rPr>
          <w:szCs w:val="18"/>
        </w:rPr>
        <w:t>jezior</w:t>
      </w:r>
      <w:r w:rsidR="006554B3">
        <w:rPr>
          <w:szCs w:val="18"/>
        </w:rPr>
        <w:t xml:space="preserve">a Borzymowskiego, które zgodnie z rozporządzeniem Ministra Środowiska wyznaczone </w:t>
      </w:r>
      <w:r w:rsidR="00C428F5">
        <w:rPr>
          <w:szCs w:val="18"/>
        </w:rPr>
        <w:t>jest jako reperowe i jest monitorowane</w:t>
      </w:r>
      <w:r w:rsidR="006554B3">
        <w:rPr>
          <w:szCs w:val="18"/>
        </w:rPr>
        <w:t xml:space="preserve"> corocznie.</w:t>
      </w:r>
      <w:r w:rsidRPr="0029660B">
        <w:rPr>
          <w:szCs w:val="18"/>
        </w:rPr>
        <w:t xml:space="preserve"> </w:t>
      </w:r>
      <w:r w:rsidRPr="007B7D0B">
        <w:t>Ocena stanu ek</w:t>
      </w:r>
      <w:r>
        <w:t>ologicznego, przeprowadzona została</w:t>
      </w:r>
      <w:r w:rsidRPr="007B7D0B">
        <w:t xml:space="preserve"> według rozporządzenia Ministra Środowiska w sprawie sposobu klasyfikacji stanu jednolitych części wód powierzchniowych oraz środowiskowych norm jakości dla substancji priorytetowych z dnia 22 października 2014 roku (Dz.U. poz.1482)</w:t>
      </w:r>
      <w:r w:rsidRPr="007B7D0B">
        <w:rPr>
          <w:i/>
        </w:rPr>
        <w:t>.</w:t>
      </w:r>
    </w:p>
    <w:p w:rsidR="0081670E" w:rsidRDefault="0081670E" w:rsidP="0081670E">
      <w:pPr>
        <w:pStyle w:val="Tekstpodstawowy"/>
        <w:spacing w:after="0" w:line="360" w:lineRule="auto"/>
        <w:ind w:firstLine="708"/>
        <w:jc w:val="both"/>
      </w:pPr>
      <w:r w:rsidRPr="003B4199">
        <w:t xml:space="preserve">Klasyfikacja oparta jest przede wszystkim o elementy biologiczne: Indeks fitoplanktonowy dla polskich jezior </w:t>
      </w:r>
      <w:r>
        <w:t>–</w:t>
      </w:r>
      <w:r w:rsidRPr="003B4199">
        <w:t xml:space="preserve"> PMPL</w:t>
      </w:r>
      <w:r>
        <w:t xml:space="preserve"> </w:t>
      </w:r>
      <w:r w:rsidRPr="003C06CB">
        <w:rPr>
          <w:i/>
        </w:rPr>
        <w:t>(fitoplankton</w:t>
      </w:r>
      <w:r>
        <w:rPr>
          <w:i/>
        </w:rPr>
        <w:t xml:space="preserve"> </w:t>
      </w:r>
      <w:r w:rsidRPr="003C06CB">
        <w:rPr>
          <w:i/>
        </w:rPr>
        <w:t>-</w:t>
      </w:r>
      <w:r>
        <w:rPr>
          <w:i/>
        </w:rPr>
        <w:t xml:space="preserve"> </w:t>
      </w:r>
      <w:r w:rsidRPr="003C06CB">
        <w:rPr>
          <w:i/>
        </w:rPr>
        <w:t>mikroskopijne organizmy roślinne oraz sinice, które biernie unoszą się w wodzie),</w:t>
      </w:r>
      <w:r>
        <w:t xml:space="preserve"> </w:t>
      </w:r>
      <w:r w:rsidRPr="003B4199">
        <w:t xml:space="preserve">makrofitowy wskaźnik stanu ekologicznego – ESMI </w:t>
      </w:r>
      <w:r>
        <w:t>(</w:t>
      </w:r>
      <w:r w:rsidRPr="001E252F">
        <w:rPr>
          <w:i/>
        </w:rPr>
        <w:t>makrofity – rośliny makroskopowe trwale zanurzone lub zakorzenione w wodzie</w:t>
      </w:r>
      <w:r>
        <w:rPr>
          <w:i/>
        </w:rPr>
        <w:t>,</w:t>
      </w:r>
      <w:r w:rsidRPr="001E252F">
        <w:rPr>
          <w:i/>
        </w:rPr>
        <w:t>)</w:t>
      </w:r>
      <w:r>
        <w:t xml:space="preserve"> </w:t>
      </w:r>
      <w:r w:rsidRPr="003B4199">
        <w:t>multimetryczny indeks okrzemkowy - IOJ</w:t>
      </w:r>
      <w:r w:rsidRPr="00D74564">
        <w:t xml:space="preserve"> </w:t>
      </w:r>
      <w:r w:rsidRPr="003B4199">
        <w:t>oraz</w:t>
      </w:r>
      <w:r>
        <w:t xml:space="preserve"> </w:t>
      </w:r>
      <w:r w:rsidRPr="00D74564">
        <w:t>makrobezkręgowce bentosowe – LMI</w:t>
      </w:r>
      <w:r w:rsidRPr="003B4199">
        <w:t xml:space="preserve">, którym nadaje się jedną z pięciu klas. </w:t>
      </w:r>
      <w:r>
        <w:t>M</w:t>
      </w:r>
      <w:r w:rsidRPr="00D74564">
        <w:t xml:space="preserve">akrobezkręgowce bentosowe </w:t>
      </w:r>
      <w:r>
        <w:t xml:space="preserve">były badany po raz pierwszy </w:t>
      </w:r>
      <w:r w:rsidR="00C428F5">
        <w:br/>
      </w:r>
      <w:r>
        <w:t>w jeziorach. Makrozoobentos to wodne zwierzęta bezkręgowe o stosunkowo dużych rozmiarach takich jak mięczaki, pijawki, skorupiaki, owady wodne (ważki, jętki, chruściki, muchówki). Z</w:t>
      </w:r>
      <w:r w:rsidRPr="007B7D0B">
        <w:t>e względu na brak ustalonych warunków referencyjnych</w:t>
      </w:r>
      <w:r>
        <w:t>*</w:t>
      </w:r>
      <w:r w:rsidRPr="007B7D0B">
        <w:t xml:space="preserve"> </w:t>
      </w:r>
      <w:r>
        <w:t>dla makrobezkręgowców element ten nie został</w:t>
      </w:r>
      <w:r w:rsidRPr="007B7D0B">
        <w:t xml:space="preserve"> uwzględniony w klasyfikacji.</w:t>
      </w:r>
    </w:p>
    <w:p w:rsidR="0081670E" w:rsidRPr="00C926C7" w:rsidRDefault="0081670E" w:rsidP="0081670E">
      <w:pPr>
        <w:spacing w:line="360" w:lineRule="auto"/>
        <w:jc w:val="both"/>
        <w:rPr>
          <w:i/>
          <w:sz w:val="20"/>
          <w:szCs w:val="20"/>
        </w:rPr>
      </w:pPr>
      <w:r w:rsidRPr="00C926C7">
        <w:rPr>
          <w:sz w:val="20"/>
          <w:szCs w:val="20"/>
        </w:rPr>
        <w:t>*</w:t>
      </w:r>
      <w:r w:rsidRPr="00C926C7">
        <w:rPr>
          <w:rStyle w:val="Pogrubienie"/>
          <w:i/>
          <w:sz w:val="20"/>
          <w:szCs w:val="20"/>
        </w:rPr>
        <w:t>Warunki referencyjne</w:t>
      </w:r>
      <w:r w:rsidRPr="00C926C7">
        <w:rPr>
          <w:i/>
          <w:sz w:val="20"/>
          <w:szCs w:val="20"/>
        </w:rPr>
        <w:t xml:space="preserve"> oznaczają stan, obecny lub w przeszłości, odzwierciedlający warunki zbliżone do naturalnych oraz niewykazujący lub wykazujący jedynie minimalne zaburzenia na skutek działalności człowieka. Warunki referencyjne stanowią podstawę klasyfikacji stanu ekologicznego wód, będącego miarą odchylenia od stanu naturalnego (referencyjnego), gdzie brak lub bardzo niewielkie odchylenie od stanu naturalnego oznacza bardzo dobry stan ekologiczny.</w:t>
      </w:r>
    </w:p>
    <w:p w:rsidR="0081670E" w:rsidRDefault="0081670E" w:rsidP="0081670E">
      <w:pPr>
        <w:spacing w:line="360" w:lineRule="auto"/>
        <w:jc w:val="both"/>
      </w:pPr>
      <w:r>
        <w:lastRenderedPageBreak/>
        <w:t xml:space="preserve">Gdy na podstawie elementów biologicznych zostanie osiągnięta </w:t>
      </w:r>
      <w:r w:rsidRPr="003B4199">
        <w:t>klasy powyżej stanu dobrego, ocena weryfikowana jest przez wspomagające elementy fizykochemiczne. Wszystkie war</w:t>
      </w:r>
      <w:r>
        <w:t>tości graniczne klas w rozporządzeniu</w:t>
      </w:r>
      <w:r w:rsidRPr="003B4199">
        <w:t xml:space="preserve"> zostały zróżnicowane w zależności od typu abiotycznego zbiornika, przypisanego na podstawie typu miktycznego oraz współczynnika S</w:t>
      </w:r>
      <w:r>
        <w:t xml:space="preserve">chindlera. </w:t>
      </w:r>
    </w:p>
    <w:p w:rsidR="0081670E" w:rsidRDefault="0081670E" w:rsidP="0081670E">
      <w:pPr>
        <w:spacing w:line="360" w:lineRule="auto"/>
        <w:jc w:val="both"/>
      </w:pPr>
      <w:r>
        <w:t>Badania podstawowych parametrów biologicznych (fitoplankton) i fizyko-ch</w:t>
      </w:r>
      <w:r w:rsidR="00C428F5">
        <w:t>emicznych prowadzone były sześć</w:t>
      </w:r>
      <w:r>
        <w:t xml:space="preserve"> razy w ciągu roku</w:t>
      </w:r>
      <w:r w:rsidR="00C428F5">
        <w:t>.</w:t>
      </w:r>
      <w:r>
        <w:t xml:space="preserve"> Makrofity na jeziorach oznaczane są w miesiącach letnich (lipiec), okrzemki późną jesienią (październik-listopad), a makrozoobentos późną wiosną (kwiecień-maj). </w:t>
      </w:r>
    </w:p>
    <w:p w:rsidR="0081670E" w:rsidRDefault="0081670E" w:rsidP="0081670E">
      <w:pPr>
        <w:spacing w:line="360" w:lineRule="auto"/>
        <w:jc w:val="both"/>
      </w:pPr>
      <w:r>
        <w:t>Ocenę stanu chemicznego wód, wykonuje się na podstawie substancji priorytetowych (wskaźniki chemiczne szczególnie szkodliwych dla środowiska wodnego) badanych 12 razy w ciągu roku.</w:t>
      </w:r>
    </w:p>
    <w:p w:rsidR="00640DEA" w:rsidRDefault="00640DEA" w:rsidP="0081670E">
      <w:pPr>
        <w:spacing w:line="360" w:lineRule="auto"/>
        <w:jc w:val="both"/>
      </w:pPr>
      <w:r>
        <w:tab/>
        <w:t>Na terenie powiatu włocławskiego znajduje się dziewięć jezior, które stanowią odrębne jednolite części wód, czyli maja powierzchnie większą niż 50 ha.</w:t>
      </w:r>
    </w:p>
    <w:p w:rsidR="00640DEA" w:rsidRDefault="00640DEA" w:rsidP="00640DEA">
      <w:pPr>
        <w:pStyle w:val="Nagwek8"/>
        <w:jc w:val="center"/>
        <w:rPr>
          <w:rFonts w:ascii="Times New Roman" w:hAnsi="Times New Roman" w:cs="Times New Roman"/>
          <w:sz w:val="24"/>
          <w:szCs w:val="24"/>
        </w:rPr>
      </w:pPr>
      <w:r>
        <w:rPr>
          <w:rFonts w:ascii="Times New Roman" w:hAnsi="Times New Roman" w:cs="Times New Roman"/>
          <w:sz w:val="24"/>
          <w:szCs w:val="24"/>
        </w:rPr>
        <w:t xml:space="preserve">Tabela </w:t>
      </w:r>
      <w:r w:rsidRPr="00520517">
        <w:rPr>
          <w:rFonts w:ascii="Times New Roman" w:hAnsi="Times New Roman" w:cs="Times New Roman"/>
          <w:sz w:val="24"/>
          <w:szCs w:val="24"/>
        </w:rPr>
        <w:t xml:space="preserve">Ocena stanu/potencjału ekologicznego jezior badanych w latach </w:t>
      </w:r>
      <w:r>
        <w:rPr>
          <w:rFonts w:ascii="Times New Roman" w:hAnsi="Times New Roman" w:cs="Times New Roman"/>
          <w:sz w:val="24"/>
          <w:szCs w:val="24"/>
        </w:rPr>
        <w:t>2007-2015</w:t>
      </w:r>
    </w:p>
    <w:p w:rsidR="00AD2664" w:rsidRPr="00AD2664" w:rsidRDefault="00AD2664" w:rsidP="00AD2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1699"/>
        <w:gridCol w:w="1274"/>
        <w:gridCol w:w="1276"/>
        <w:gridCol w:w="1701"/>
        <w:gridCol w:w="1563"/>
        <w:gridCol w:w="1200"/>
      </w:tblGrid>
      <w:tr w:rsidR="00640DEA" w:rsidRPr="00520517" w:rsidTr="002A5484">
        <w:trPr>
          <w:tblHeader/>
        </w:trPr>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Lp.</w:t>
            </w: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Nazwa jeziora</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Powiat</w:t>
            </w:r>
          </w:p>
        </w:tc>
        <w:tc>
          <w:tcPr>
            <w:tcW w:w="1276"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Klasyfikacja -elementy biologiczne</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Klasyfikacja-elementy fizykochemiczne</w:t>
            </w:r>
          </w:p>
        </w:tc>
        <w:tc>
          <w:tcPr>
            <w:tcW w:w="1563"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Ocena stanu/potencjału ekologicznego</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b/>
                <w:bCs/>
                <w:iCs/>
                <w:sz w:val="20"/>
                <w:szCs w:val="20"/>
              </w:rPr>
            </w:pPr>
            <w:r w:rsidRPr="00520517">
              <w:rPr>
                <w:b/>
                <w:bCs/>
                <w:iCs/>
                <w:sz w:val="20"/>
                <w:szCs w:val="20"/>
              </w:rPr>
              <w:t>Rok badania</w:t>
            </w:r>
          </w:p>
        </w:tc>
      </w:tr>
      <w:tr w:rsidR="00640DEA" w:rsidRPr="00520517" w:rsidTr="002A5484">
        <w:trPr>
          <w:cantSplit/>
        </w:trPr>
        <w:tc>
          <w:tcPr>
            <w:tcW w:w="9212" w:type="dxa"/>
            <w:gridSpan w:val="7"/>
            <w:tcBorders>
              <w:top w:val="single" w:sz="4" w:space="0" w:color="auto"/>
              <w:left w:val="single" w:sz="4" w:space="0" w:color="auto"/>
              <w:bottom w:val="single" w:sz="4" w:space="0" w:color="auto"/>
              <w:right w:val="single" w:sz="4" w:space="0" w:color="auto"/>
            </w:tcBorders>
            <w:shd w:val="clear" w:color="auto" w:fill="B3B3B3"/>
            <w:vAlign w:val="center"/>
          </w:tcPr>
          <w:p w:rsidR="00640DEA" w:rsidRPr="00520517" w:rsidRDefault="00640DEA" w:rsidP="002A5484">
            <w:pPr>
              <w:jc w:val="center"/>
              <w:rPr>
                <w:iCs/>
                <w:sz w:val="20"/>
                <w:szCs w:val="20"/>
              </w:rPr>
            </w:pPr>
            <w:r w:rsidRPr="00520517">
              <w:rPr>
                <w:iCs/>
                <w:sz w:val="20"/>
                <w:szCs w:val="20"/>
              </w:rPr>
              <w:t xml:space="preserve">Typ abiotyczny </w:t>
            </w:r>
            <w:r w:rsidRPr="00520517">
              <w:rPr>
                <w:b/>
                <w:bCs/>
                <w:iCs/>
                <w:sz w:val="20"/>
                <w:szCs w:val="20"/>
              </w:rPr>
              <w:t>3a -</w:t>
            </w:r>
            <w:r w:rsidRPr="00520517">
              <w:rPr>
                <w:sz w:val="20"/>
                <w:szCs w:val="20"/>
              </w:rPr>
              <w:t>– jeziora stratyfikowane współczynnik Schindlera &gt;2</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r>
              <w:rPr>
                <w:sz w:val="20"/>
                <w:szCs w:val="20"/>
              </w:rPr>
              <w:t xml:space="preserve"> </w:t>
            </w: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Kromszewickie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FFFF00" w:fill="auto"/>
            <w:vAlign w:val="center"/>
          </w:tcPr>
          <w:p w:rsidR="00640DEA" w:rsidRPr="00520517" w:rsidRDefault="00640DEA" w:rsidP="002A5484">
            <w:pPr>
              <w:jc w:val="center"/>
              <w:rPr>
                <w:iCs/>
                <w:sz w:val="20"/>
                <w:szCs w:val="20"/>
              </w:rPr>
            </w:pPr>
            <w:r w:rsidRPr="00520517">
              <w:rPr>
                <w:iCs/>
                <w:sz w:val="20"/>
                <w:szCs w:val="20"/>
              </w:rPr>
              <w:t>umiarkowany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Pr>
                <w:iCs/>
                <w:sz w:val="20"/>
                <w:szCs w:val="20"/>
              </w:rPr>
              <w:t>2008,</w:t>
            </w:r>
            <w:r w:rsidRPr="00520517">
              <w:rPr>
                <w:iCs/>
                <w:sz w:val="20"/>
                <w:szCs w:val="20"/>
              </w:rPr>
              <w:t>2014</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Lubieńskie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FF0000" w:fill="auto"/>
            <w:vAlign w:val="center"/>
          </w:tcPr>
          <w:p w:rsidR="00640DEA" w:rsidRPr="00520517" w:rsidRDefault="00640DEA" w:rsidP="002A5484">
            <w:pPr>
              <w:jc w:val="center"/>
              <w:rPr>
                <w:iCs/>
                <w:sz w:val="20"/>
                <w:szCs w:val="20"/>
              </w:rPr>
            </w:pPr>
            <w:r w:rsidRPr="00520517">
              <w:rPr>
                <w:iCs/>
                <w:sz w:val="20"/>
                <w:szCs w:val="20"/>
              </w:rPr>
              <w:t>zły</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SD, N, P</w:t>
            </w:r>
          </w:p>
        </w:tc>
        <w:tc>
          <w:tcPr>
            <w:tcW w:w="1563" w:type="dxa"/>
            <w:tcBorders>
              <w:top w:val="single" w:sz="4" w:space="0" w:color="auto"/>
              <w:left w:val="single" w:sz="4" w:space="0" w:color="auto"/>
              <w:bottom w:val="single" w:sz="4" w:space="0" w:color="auto"/>
              <w:right w:val="single" w:sz="4" w:space="0" w:color="auto"/>
            </w:tcBorders>
            <w:shd w:val="clear" w:color="auto" w:fill="FF0000"/>
            <w:vAlign w:val="center"/>
          </w:tcPr>
          <w:p w:rsidR="00640DEA" w:rsidRPr="00520517" w:rsidRDefault="00640DEA" w:rsidP="002A5484">
            <w:pPr>
              <w:jc w:val="center"/>
              <w:rPr>
                <w:iCs/>
                <w:sz w:val="20"/>
                <w:szCs w:val="20"/>
              </w:rPr>
            </w:pPr>
            <w:r w:rsidRPr="00520517">
              <w:rPr>
                <w:iCs/>
                <w:sz w:val="20"/>
                <w:szCs w:val="20"/>
              </w:rPr>
              <w:t>zły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Pr>
                <w:iCs/>
                <w:sz w:val="20"/>
                <w:szCs w:val="20"/>
              </w:rPr>
              <w:t>2007,</w:t>
            </w:r>
            <w:r w:rsidRPr="00520517">
              <w:rPr>
                <w:iCs/>
                <w:sz w:val="20"/>
                <w:szCs w:val="20"/>
              </w:rPr>
              <w:t>2013</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 xml:space="preserve">Szczytnowskie </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P</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2010</w:t>
            </w:r>
          </w:p>
        </w:tc>
      </w:tr>
      <w:tr w:rsidR="00640DEA" w:rsidRPr="00520517" w:rsidTr="002A5484">
        <w:trPr>
          <w:cantSplit/>
          <w:trHeight w:hRule="exact" w:val="240"/>
        </w:trPr>
        <w:tc>
          <w:tcPr>
            <w:tcW w:w="9212" w:type="dxa"/>
            <w:gridSpan w:val="7"/>
            <w:tcBorders>
              <w:top w:val="single" w:sz="4" w:space="0" w:color="auto"/>
              <w:left w:val="single" w:sz="4" w:space="0" w:color="auto"/>
              <w:bottom w:val="single" w:sz="4" w:space="0" w:color="auto"/>
              <w:right w:val="single" w:sz="4" w:space="0" w:color="auto"/>
            </w:tcBorders>
            <w:shd w:val="clear" w:color="auto" w:fill="B3B3B3"/>
            <w:vAlign w:val="center"/>
          </w:tcPr>
          <w:p w:rsidR="00640DEA" w:rsidRPr="00520517" w:rsidRDefault="00640DEA" w:rsidP="002A5484">
            <w:pPr>
              <w:jc w:val="center"/>
              <w:rPr>
                <w:iCs/>
                <w:sz w:val="20"/>
                <w:szCs w:val="20"/>
              </w:rPr>
            </w:pPr>
            <w:r w:rsidRPr="00520517">
              <w:rPr>
                <w:sz w:val="20"/>
                <w:szCs w:val="20"/>
              </w:rPr>
              <w:t xml:space="preserve">Typ abiotyczny </w:t>
            </w:r>
            <w:r w:rsidRPr="00520517">
              <w:rPr>
                <w:b/>
                <w:bCs/>
                <w:sz w:val="20"/>
                <w:szCs w:val="20"/>
              </w:rPr>
              <w:t xml:space="preserve">2b </w:t>
            </w:r>
            <w:r w:rsidRPr="00520517">
              <w:rPr>
                <w:sz w:val="20"/>
                <w:szCs w:val="20"/>
              </w:rPr>
              <w:t>– jeziora niestratyfikowane współczynnik Schindlera &lt;2</w:t>
            </w:r>
          </w:p>
        </w:tc>
      </w:tr>
      <w:tr w:rsidR="00640DEA" w:rsidRPr="00520517" w:rsidTr="002A5484">
        <w:trPr>
          <w:cantSplit/>
        </w:trPr>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Goreńskie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00FF00"/>
            <w:vAlign w:val="center"/>
          </w:tcPr>
          <w:p w:rsidR="00640DEA" w:rsidRPr="00520517" w:rsidRDefault="00640DEA" w:rsidP="002A5484">
            <w:pPr>
              <w:jc w:val="center"/>
              <w:rPr>
                <w:iCs/>
                <w:sz w:val="20"/>
                <w:szCs w:val="20"/>
              </w:rPr>
            </w:pPr>
            <w:r w:rsidRPr="00520517">
              <w:rPr>
                <w:iCs/>
                <w:sz w:val="20"/>
                <w:szCs w:val="20"/>
              </w:rPr>
              <w:t>dobry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2011</w:t>
            </w:r>
          </w:p>
        </w:tc>
      </w:tr>
      <w:tr w:rsidR="00640DEA" w:rsidRPr="00520517" w:rsidTr="002A5484">
        <w:trPr>
          <w:cantSplit/>
          <w:trHeight w:hRule="exact" w:val="240"/>
        </w:trPr>
        <w:tc>
          <w:tcPr>
            <w:tcW w:w="9212" w:type="dxa"/>
            <w:gridSpan w:val="7"/>
            <w:tcBorders>
              <w:top w:val="single" w:sz="4" w:space="0" w:color="auto"/>
              <w:left w:val="single" w:sz="4" w:space="0" w:color="auto"/>
              <w:bottom w:val="single" w:sz="4" w:space="0" w:color="auto"/>
              <w:right w:val="single" w:sz="4" w:space="0" w:color="auto"/>
            </w:tcBorders>
            <w:shd w:val="clear" w:color="auto" w:fill="B3B3B3"/>
            <w:vAlign w:val="center"/>
          </w:tcPr>
          <w:p w:rsidR="00640DEA" w:rsidRPr="00520517" w:rsidRDefault="00640DEA" w:rsidP="002A5484">
            <w:pPr>
              <w:pStyle w:val="Nagwek1"/>
              <w:spacing w:before="0"/>
              <w:jc w:val="center"/>
              <w:rPr>
                <w:rFonts w:ascii="Times New Roman" w:hAnsi="Times New Roman"/>
                <w:iCs/>
                <w:sz w:val="20"/>
                <w:szCs w:val="20"/>
              </w:rPr>
            </w:pPr>
            <w:r w:rsidRPr="00C96F7B">
              <w:rPr>
                <w:rFonts w:ascii="Times New Roman" w:hAnsi="Times New Roman"/>
                <w:b w:val="0"/>
                <w:bCs w:val="0"/>
                <w:color w:val="auto"/>
                <w:sz w:val="20"/>
                <w:szCs w:val="20"/>
              </w:rPr>
              <w:t>Typ abiotyczny</w:t>
            </w:r>
            <w:r w:rsidRPr="00C96F7B">
              <w:rPr>
                <w:rFonts w:ascii="Times New Roman" w:hAnsi="Times New Roman"/>
                <w:color w:val="auto"/>
                <w:sz w:val="20"/>
                <w:szCs w:val="20"/>
              </w:rPr>
              <w:t xml:space="preserve"> 3b -– </w:t>
            </w:r>
            <w:r w:rsidRPr="00C96F7B">
              <w:rPr>
                <w:rFonts w:ascii="Times New Roman" w:hAnsi="Times New Roman"/>
                <w:b w:val="0"/>
                <w:bCs w:val="0"/>
                <w:color w:val="auto"/>
                <w:sz w:val="20"/>
                <w:szCs w:val="20"/>
              </w:rPr>
              <w:t>jeziora niestratyfikowane współczynnik Schindlera &gt;2</w:t>
            </w:r>
          </w:p>
        </w:tc>
      </w:tr>
      <w:tr w:rsidR="00640DEA" w:rsidRPr="00520517" w:rsidTr="002A5484">
        <w:trPr>
          <w:cantSplit/>
        </w:trPr>
        <w:tc>
          <w:tcPr>
            <w:tcW w:w="499" w:type="dxa"/>
            <w:vMerge w:val="restart"/>
            <w:tcBorders>
              <w:top w:val="single" w:sz="4" w:space="0" w:color="auto"/>
              <w:left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vMerge w:val="restart"/>
            <w:tcBorders>
              <w:top w:val="single" w:sz="4" w:space="0" w:color="auto"/>
              <w:left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Borzymowskie</w:t>
            </w:r>
          </w:p>
        </w:tc>
        <w:tc>
          <w:tcPr>
            <w:tcW w:w="1274" w:type="dxa"/>
            <w:vMerge w:val="restart"/>
            <w:tcBorders>
              <w:top w:val="single" w:sz="4" w:space="0" w:color="auto"/>
              <w:left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00FF00"/>
            <w:vAlign w:val="center"/>
          </w:tcPr>
          <w:p w:rsidR="00640DEA" w:rsidRPr="00520517" w:rsidRDefault="00640DEA" w:rsidP="002A5484">
            <w:pPr>
              <w:jc w:val="center"/>
              <w:rPr>
                <w:iCs/>
                <w:sz w:val="20"/>
                <w:szCs w:val="20"/>
              </w:rPr>
            </w:pPr>
            <w:r w:rsidRPr="00520517">
              <w:rPr>
                <w:iCs/>
                <w:sz w:val="20"/>
                <w:szCs w:val="20"/>
              </w:rPr>
              <w:t>dobry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2007-2008</w:t>
            </w:r>
          </w:p>
        </w:tc>
      </w:tr>
      <w:tr w:rsidR="00640DEA" w:rsidRPr="00520517" w:rsidTr="002A5484">
        <w:trPr>
          <w:cantSplit/>
        </w:trPr>
        <w:tc>
          <w:tcPr>
            <w:tcW w:w="0" w:type="auto"/>
            <w:vMerge/>
            <w:tcBorders>
              <w:left w:val="single" w:sz="4" w:space="0" w:color="auto"/>
              <w:right w:val="single" w:sz="4" w:space="0" w:color="auto"/>
            </w:tcBorders>
            <w:vAlign w:val="center"/>
          </w:tcPr>
          <w:p w:rsidR="00640DEA" w:rsidRPr="00520517" w:rsidRDefault="00640DEA" w:rsidP="002A5484">
            <w:pPr>
              <w:rPr>
                <w:sz w:val="20"/>
                <w:szCs w:val="20"/>
              </w:rPr>
            </w:pPr>
          </w:p>
        </w:tc>
        <w:tc>
          <w:tcPr>
            <w:tcW w:w="1699"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4"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P</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2009-2010</w:t>
            </w:r>
          </w:p>
        </w:tc>
      </w:tr>
      <w:tr w:rsidR="00640DEA" w:rsidRPr="00520517" w:rsidTr="002A5484">
        <w:trPr>
          <w:cantSplit/>
        </w:trPr>
        <w:tc>
          <w:tcPr>
            <w:tcW w:w="0" w:type="auto"/>
            <w:vMerge/>
            <w:tcBorders>
              <w:left w:val="single" w:sz="4" w:space="0" w:color="auto"/>
              <w:right w:val="single" w:sz="4" w:space="0" w:color="auto"/>
            </w:tcBorders>
            <w:vAlign w:val="center"/>
          </w:tcPr>
          <w:p w:rsidR="00640DEA" w:rsidRPr="00520517" w:rsidRDefault="00640DEA" w:rsidP="002A5484">
            <w:pPr>
              <w:rPr>
                <w:sz w:val="20"/>
                <w:szCs w:val="20"/>
              </w:rPr>
            </w:pPr>
          </w:p>
        </w:tc>
        <w:tc>
          <w:tcPr>
            <w:tcW w:w="1699"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4"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pct50" w:color="FFFF00" w:fill="auto"/>
            <w:vAlign w:val="center"/>
          </w:tcPr>
          <w:p w:rsidR="00640DEA" w:rsidRPr="00520517" w:rsidRDefault="00640DEA" w:rsidP="002A5484">
            <w:pPr>
              <w:jc w:val="center"/>
              <w:rPr>
                <w:iCs/>
                <w:sz w:val="20"/>
                <w:szCs w:val="20"/>
              </w:rPr>
            </w:pPr>
            <w:r w:rsidRPr="00520517">
              <w:rPr>
                <w:iCs/>
                <w:sz w:val="20"/>
                <w:szCs w:val="20"/>
              </w:rPr>
              <w:t>umiarkowany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2011</w:t>
            </w:r>
          </w:p>
        </w:tc>
      </w:tr>
      <w:tr w:rsidR="00640DEA" w:rsidRPr="00520517" w:rsidTr="002A5484">
        <w:trPr>
          <w:cantSplit/>
        </w:trPr>
        <w:tc>
          <w:tcPr>
            <w:tcW w:w="0" w:type="auto"/>
            <w:vMerge/>
            <w:tcBorders>
              <w:left w:val="single" w:sz="4" w:space="0" w:color="auto"/>
              <w:right w:val="single" w:sz="4" w:space="0" w:color="auto"/>
            </w:tcBorders>
            <w:vAlign w:val="center"/>
          </w:tcPr>
          <w:p w:rsidR="00640DEA" w:rsidRPr="00520517" w:rsidRDefault="00640DEA" w:rsidP="002A5484">
            <w:pPr>
              <w:rPr>
                <w:sz w:val="20"/>
                <w:szCs w:val="20"/>
              </w:rPr>
            </w:pPr>
          </w:p>
        </w:tc>
        <w:tc>
          <w:tcPr>
            <w:tcW w:w="1699"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4" w:type="dxa"/>
            <w:vMerge/>
            <w:tcBorders>
              <w:left w:val="single" w:sz="4" w:space="0" w:color="auto"/>
              <w:right w:val="single" w:sz="4" w:space="0" w:color="auto"/>
            </w:tcBorders>
            <w:vAlign w:val="center"/>
          </w:tcPr>
          <w:p w:rsidR="00640DEA" w:rsidRPr="00520517" w:rsidRDefault="00640DEA" w:rsidP="002A548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pct50" w:color="FFFF00" w:fill="auto"/>
            <w:vAlign w:val="center"/>
          </w:tcPr>
          <w:p w:rsidR="00640DEA" w:rsidRPr="00520517" w:rsidRDefault="00640DEA" w:rsidP="002A5484">
            <w:pPr>
              <w:jc w:val="center"/>
              <w:rPr>
                <w:iCs/>
                <w:sz w:val="20"/>
                <w:szCs w:val="20"/>
              </w:rPr>
            </w:pPr>
            <w:r w:rsidRPr="00520517">
              <w:rPr>
                <w:iCs/>
                <w:sz w:val="20"/>
                <w:szCs w:val="20"/>
              </w:rPr>
              <w:t>umiarkowany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2012-2014</w:t>
            </w:r>
          </w:p>
        </w:tc>
      </w:tr>
      <w:tr w:rsidR="00640DEA" w:rsidRPr="00520517" w:rsidTr="002A5484">
        <w:trPr>
          <w:cantSplit/>
        </w:trPr>
        <w:tc>
          <w:tcPr>
            <w:tcW w:w="0" w:type="auto"/>
            <w:vMerge/>
            <w:tcBorders>
              <w:left w:val="single" w:sz="4" w:space="0" w:color="auto"/>
              <w:bottom w:val="single" w:sz="4" w:space="0" w:color="auto"/>
              <w:right w:val="single" w:sz="4" w:space="0" w:color="auto"/>
            </w:tcBorders>
            <w:vAlign w:val="center"/>
          </w:tcPr>
          <w:p w:rsidR="00640DEA" w:rsidRPr="00520517" w:rsidRDefault="00640DEA" w:rsidP="002A5484">
            <w:pPr>
              <w:rPr>
                <w:sz w:val="20"/>
                <w:szCs w:val="20"/>
              </w:rPr>
            </w:pPr>
          </w:p>
        </w:tc>
        <w:tc>
          <w:tcPr>
            <w:tcW w:w="1699" w:type="dxa"/>
            <w:vMerge/>
            <w:tcBorders>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p>
        </w:tc>
        <w:tc>
          <w:tcPr>
            <w:tcW w:w="1274" w:type="dxa"/>
            <w:vMerge/>
            <w:tcBorders>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shd w:val="clear" w:color="00FF00" w:fill="auto"/>
            <w:vAlign w:val="center"/>
          </w:tcPr>
          <w:p w:rsidR="00640DEA" w:rsidRPr="00520517" w:rsidRDefault="00640DEA" w:rsidP="002A5484">
            <w:pPr>
              <w:jc w:val="center"/>
              <w:rPr>
                <w:iCs/>
                <w:sz w:val="20"/>
                <w:szCs w:val="20"/>
              </w:rPr>
            </w:pPr>
            <w:r>
              <w:rPr>
                <w:iCs/>
                <w:sz w:val="20"/>
                <w:szCs w:val="20"/>
              </w:rPr>
              <w:t>P</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Pr>
                <w:iCs/>
                <w:sz w:val="20"/>
                <w:szCs w:val="20"/>
              </w:rPr>
              <w:t>2015</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Chełmica</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FFFF00" w:fill="auto"/>
            <w:vAlign w:val="center"/>
          </w:tcPr>
          <w:p w:rsidR="00640DEA" w:rsidRPr="00520517" w:rsidRDefault="00640DEA" w:rsidP="002A5484">
            <w:pPr>
              <w:jc w:val="center"/>
              <w:rPr>
                <w:iCs/>
                <w:sz w:val="20"/>
                <w:szCs w:val="20"/>
              </w:rPr>
            </w:pPr>
            <w:r w:rsidRPr="00520517">
              <w:rPr>
                <w:iCs/>
                <w:sz w:val="20"/>
                <w:szCs w:val="20"/>
              </w:rPr>
              <w:t>umiarkowany</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SD, N</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2012</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Modzerowskie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FFFF00" w:fill="auto"/>
            <w:vAlign w:val="center"/>
          </w:tcPr>
          <w:p w:rsidR="00640DEA" w:rsidRPr="00520517" w:rsidRDefault="00640DEA" w:rsidP="002A5484">
            <w:pPr>
              <w:jc w:val="center"/>
              <w:rPr>
                <w:iCs/>
                <w:sz w:val="20"/>
                <w:szCs w:val="20"/>
              </w:rPr>
            </w:pPr>
            <w:r w:rsidRPr="00520517">
              <w:rPr>
                <w:iCs/>
                <w:sz w:val="20"/>
                <w:szCs w:val="20"/>
              </w:rPr>
              <w:t>umiarkowany</w:t>
            </w:r>
          </w:p>
        </w:tc>
        <w:tc>
          <w:tcPr>
            <w:tcW w:w="1701"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SD</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rsidR="00640DEA" w:rsidRPr="00520517" w:rsidRDefault="00640DEA" w:rsidP="002A5484">
            <w:pPr>
              <w:jc w:val="center"/>
              <w:rPr>
                <w:iCs/>
                <w:sz w:val="20"/>
                <w:szCs w:val="20"/>
              </w:rPr>
            </w:pPr>
            <w:r w:rsidRPr="00520517">
              <w:rPr>
                <w:iCs/>
                <w:sz w:val="20"/>
                <w:szCs w:val="20"/>
              </w:rPr>
              <w:t>umiarkowany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2012</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Rakutowskie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00FFFF" w:fill="auto"/>
            <w:vAlign w:val="center"/>
          </w:tcPr>
          <w:p w:rsidR="00640DEA" w:rsidRPr="00520517" w:rsidRDefault="00640DEA" w:rsidP="002A5484">
            <w:pPr>
              <w:jc w:val="center"/>
              <w:rPr>
                <w:iCs/>
                <w:sz w:val="20"/>
                <w:szCs w:val="20"/>
              </w:rPr>
            </w:pPr>
            <w:r w:rsidRPr="00520517">
              <w:rPr>
                <w:iCs/>
                <w:sz w:val="20"/>
                <w:szCs w:val="20"/>
              </w:rPr>
              <w:t>bardzo dobry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00FFFF"/>
            <w:vAlign w:val="center"/>
          </w:tcPr>
          <w:p w:rsidR="00640DEA" w:rsidRPr="00520517" w:rsidRDefault="00640DEA" w:rsidP="002A5484">
            <w:pPr>
              <w:jc w:val="center"/>
              <w:rPr>
                <w:iCs/>
                <w:sz w:val="20"/>
                <w:szCs w:val="20"/>
              </w:rPr>
            </w:pPr>
            <w:r w:rsidRPr="00520517">
              <w:rPr>
                <w:iCs/>
                <w:sz w:val="20"/>
                <w:szCs w:val="20"/>
              </w:rPr>
              <w:t>bardzo dobry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2013</w:t>
            </w:r>
          </w:p>
        </w:tc>
      </w:tr>
      <w:tr w:rsidR="00640DEA" w:rsidRPr="00520517" w:rsidTr="002A5484">
        <w:tc>
          <w:tcPr>
            <w:tcW w:w="4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numPr>
                <w:ilvl w:val="0"/>
                <w:numId w:val="3"/>
              </w:numPr>
              <w:ind w:left="357" w:hanging="357"/>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Wikaryjskie</w:t>
            </w:r>
          </w:p>
        </w:tc>
        <w:tc>
          <w:tcPr>
            <w:tcW w:w="1274"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sz w:val="20"/>
                <w:szCs w:val="20"/>
              </w:rPr>
            </w:pPr>
            <w:r w:rsidRPr="00520517">
              <w:rPr>
                <w:sz w:val="20"/>
                <w:szCs w:val="20"/>
              </w:rPr>
              <w:t>włocławski</w:t>
            </w:r>
          </w:p>
        </w:tc>
        <w:tc>
          <w:tcPr>
            <w:tcW w:w="1276"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dobry</w:t>
            </w:r>
          </w:p>
        </w:tc>
        <w:tc>
          <w:tcPr>
            <w:tcW w:w="1701" w:type="dxa"/>
            <w:tcBorders>
              <w:top w:val="single" w:sz="4" w:space="0" w:color="auto"/>
              <w:left w:val="single" w:sz="4" w:space="0" w:color="auto"/>
              <w:bottom w:val="single" w:sz="4" w:space="0" w:color="auto"/>
              <w:right w:val="single" w:sz="4" w:space="0" w:color="auto"/>
            </w:tcBorders>
            <w:shd w:val="pct50" w:color="00FF00" w:fill="auto"/>
            <w:vAlign w:val="center"/>
          </w:tcPr>
          <w:p w:rsidR="00640DEA" w:rsidRPr="00520517" w:rsidRDefault="00640DEA" w:rsidP="002A5484">
            <w:pPr>
              <w:jc w:val="center"/>
              <w:rPr>
                <w:iCs/>
                <w:sz w:val="20"/>
                <w:szCs w:val="20"/>
              </w:rPr>
            </w:pPr>
            <w:r w:rsidRPr="00520517">
              <w:rPr>
                <w:iCs/>
                <w:sz w:val="20"/>
                <w:szCs w:val="20"/>
              </w:rPr>
              <w:t>powyżej II klasy</w:t>
            </w:r>
          </w:p>
        </w:tc>
        <w:tc>
          <w:tcPr>
            <w:tcW w:w="1563" w:type="dxa"/>
            <w:tcBorders>
              <w:top w:val="single" w:sz="4" w:space="0" w:color="auto"/>
              <w:left w:val="single" w:sz="4" w:space="0" w:color="auto"/>
              <w:bottom w:val="single" w:sz="4" w:space="0" w:color="auto"/>
              <w:right w:val="single" w:sz="4" w:space="0" w:color="auto"/>
            </w:tcBorders>
            <w:shd w:val="clear" w:color="auto" w:fill="00FF00"/>
            <w:vAlign w:val="center"/>
          </w:tcPr>
          <w:p w:rsidR="00640DEA" w:rsidRPr="00520517" w:rsidRDefault="00640DEA" w:rsidP="002A5484">
            <w:pPr>
              <w:jc w:val="center"/>
              <w:rPr>
                <w:iCs/>
                <w:sz w:val="20"/>
                <w:szCs w:val="20"/>
              </w:rPr>
            </w:pPr>
            <w:r w:rsidRPr="00520517">
              <w:rPr>
                <w:iCs/>
                <w:sz w:val="20"/>
                <w:szCs w:val="20"/>
              </w:rPr>
              <w:t>dobry</w:t>
            </w:r>
          </w:p>
        </w:tc>
        <w:tc>
          <w:tcPr>
            <w:tcW w:w="1200" w:type="dxa"/>
            <w:tcBorders>
              <w:top w:val="single" w:sz="4" w:space="0" w:color="auto"/>
              <w:left w:val="single" w:sz="4" w:space="0" w:color="auto"/>
              <w:bottom w:val="single" w:sz="4" w:space="0" w:color="auto"/>
              <w:right w:val="single" w:sz="4" w:space="0" w:color="auto"/>
            </w:tcBorders>
            <w:vAlign w:val="center"/>
          </w:tcPr>
          <w:p w:rsidR="00640DEA" w:rsidRPr="00520517" w:rsidRDefault="00640DEA" w:rsidP="002A5484">
            <w:pPr>
              <w:jc w:val="center"/>
              <w:rPr>
                <w:iCs/>
                <w:sz w:val="20"/>
                <w:szCs w:val="20"/>
              </w:rPr>
            </w:pPr>
            <w:r w:rsidRPr="00520517">
              <w:rPr>
                <w:iCs/>
                <w:sz w:val="20"/>
                <w:szCs w:val="20"/>
              </w:rPr>
              <w:t>2008,2014</w:t>
            </w:r>
          </w:p>
        </w:tc>
      </w:tr>
    </w:tbl>
    <w:p w:rsidR="00640DEA" w:rsidRDefault="00640DEA" w:rsidP="00640DEA"/>
    <w:p w:rsidR="006554B3" w:rsidRPr="00E71A67" w:rsidRDefault="006554B3" w:rsidP="006554B3">
      <w:pPr>
        <w:pStyle w:val="Nagwek1"/>
        <w:spacing w:before="0" w:line="360" w:lineRule="auto"/>
        <w:rPr>
          <w:rFonts w:ascii="Times New Roman" w:hAnsi="Times New Roman"/>
          <w:color w:val="auto"/>
          <w:sz w:val="24"/>
          <w:szCs w:val="24"/>
        </w:rPr>
      </w:pPr>
      <w:r w:rsidRPr="00E71A67">
        <w:rPr>
          <w:rFonts w:ascii="Times New Roman" w:hAnsi="Times New Roman"/>
          <w:color w:val="auto"/>
          <w:sz w:val="24"/>
          <w:szCs w:val="24"/>
        </w:rPr>
        <w:lastRenderedPageBreak/>
        <w:t>JEZIORO BORZYMOWSKIE</w:t>
      </w:r>
    </w:p>
    <w:p w:rsidR="006554B3" w:rsidRDefault="00AE14F8" w:rsidP="006554B3">
      <w:pPr>
        <w:pStyle w:val="Nagwek3"/>
      </w:pPr>
      <w:r>
        <w:rPr>
          <w:noProof/>
          <w:sz w:val="20"/>
        </w:rPr>
        <mc:AlternateContent>
          <mc:Choice Requires="wps">
            <w:drawing>
              <wp:anchor distT="0" distB="0" distL="114300" distR="114300" simplePos="0" relativeHeight="251659264" behindDoc="0" locked="0" layoutInCell="1" allowOverlap="1" wp14:anchorId="49F33A8D" wp14:editId="131A0280">
                <wp:simplePos x="0" y="0"/>
                <wp:positionH relativeFrom="column">
                  <wp:posOffset>3206115</wp:posOffset>
                </wp:positionH>
                <wp:positionV relativeFrom="paragraph">
                  <wp:posOffset>78105</wp:posOffset>
                </wp:positionV>
                <wp:extent cx="2507615" cy="1257300"/>
                <wp:effectExtent l="0" t="0" r="26035" b="1905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257300"/>
                        </a:xfrm>
                        <a:prstGeom prst="rect">
                          <a:avLst/>
                        </a:prstGeom>
                        <a:noFill/>
                        <a:ln w="317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A5484" w:rsidRDefault="002A5484" w:rsidP="006554B3">
                            <w:pPr>
                              <w:numPr>
                                <w:ilvl w:val="0"/>
                                <w:numId w:val="2"/>
                              </w:numPr>
                            </w:pPr>
                            <w:r>
                              <w:t>powierzchnia: 175,0 ha,</w:t>
                            </w:r>
                          </w:p>
                          <w:p w:rsidR="002A5484" w:rsidRDefault="002A5484" w:rsidP="006554B3">
                            <w:pPr>
                              <w:numPr>
                                <w:ilvl w:val="0"/>
                                <w:numId w:val="2"/>
                              </w:numPr>
                            </w:pPr>
                            <w:r>
                              <w:t>objętość: 7358,6 tys. m</w:t>
                            </w:r>
                            <w:r>
                              <w:rPr>
                                <w:vertAlign w:val="superscript"/>
                              </w:rPr>
                              <w:t>3</w:t>
                            </w:r>
                            <w:r>
                              <w:t>,</w:t>
                            </w:r>
                          </w:p>
                          <w:p w:rsidR="002A5484" w:rsidRDefault="002A5484" w:rsidP="006554B3">
                            <w:pPr>
                              <w:numPr>
                                <w:ilvl w:val="0"/>
                                <w:numId w:val="2"/>
                              </w:numPr>
                            </w:pPr>
                            <w:r>
                              <w:t>głębokość maksymalna: 10,5 m,</w:t>
                            </w:r>
                          </w:p>
                          <w:p w:rsidR="002A5484" w:rsidRDefault="002A5484" w:rsidP="006554B3">
                            <w:pPr>
                              <w:numPr>
                                <w:ilvl w:val="0"/>
                                <w:numId w:val="2"/>
                              </w:numPr>
                            </w:pPr>
                            <w:r>
                              <w:t>powierzchnia zlewni całkowitej: 156,05 km</w:t>
                            </w:r>
                            <w:r>
                              <w:rPr>
                                <w:vertAlign w:val="superscript"/>
                              </w:rPr>
                              <w:t>2</w:t>
                            </w:r>
                            <w:r>
                              <w:t>,</w:t>
                            </w:r>
                          </w:p>
                          <w:p w:rsidR="002A5484" w:rsidRDefault="002A5484" w:rsidP="006554B3">
                            <w:pPr>
                              <w:numPr>
                                <w:ilvl w:val="0"/>
                                <w:numId w:val="2"/>
                              </w:numPr>
                            </w:pPr>
                            <w:r>
                              <w:t>typ abiotyczny jeziora: 3b</w:t>
                            </w:r>
                          </w:p>
                          <w:p w:rsidR="002A5484" w:rsidRDefault="002A5484" w:rsidP="006554B3">
                            <w:r>
                              <w:object w:dxaOrig="11679" w:dyaOrig="10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9.2pt;height:981.6pt" o:ole="">
                                  <v:imagedata r:id="rId12" o:title=""/>
                                </v:shape>
                                <o:OLEObject Type="Embed" ProgID="CorelDraw.Graphic.8" ShapeID="_x0000_i1026" DrawAspect="Content" ObjectID="_152369393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252.45pt;margin-top:6.15pt;width:197.4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tOlwIAADkFAAAOAAAAZHJzL2Uyb0RvYy54bWysVG1v2yAQ/j5p/wHxPbWdOC+16lRdnEyT&#10;uq1Stx9AbByjYs4DEier9t93QJKm25dqmj9g4I7n7rl74OZ230qy49oIUDlNrmJKuCqhEmqT0+/f&#10;VoMZJcYyVTEJiuf0wA29nb9/d9N3GR9CA7LimiCIMlnf5bSxtsuiyJQNb5m5go4rNNagW2ZxqTdR&#10;pVmP6K2MhnE8iXrQVaeh5MbgbhGMdO7x65qX9mtdG26JzCnmZv2o/bh2YzS/YdlGs64R5TEN9g9Z&#10;tEwoDHqGKphlZKvFX1CtKDUYqO1VCW0EdS1K7jkgmyT+g81jwzruuWBxTHcuk/l/sOWX3YMmosrp&#10;iBLFWmzRA0hOLH8yFnpORq5EfWcy9Hzs0NfuP8AeW+3pmu4eyidDFCwapjb8TmvoG84qTDFxJ6OL&#10;owHHOJB1/xkqjMW2FjzQvtatqx9WhCA6tupwbg/fW1Li5nAcTyfJmJISbclwPB3FvoERy07HO23s&#10;Rw4tcZOcauy/h2e7e2NdOiw7ubhoClZCSq8BqUiPRUimDp+hErWqAkWQonJu7oDRm/VCarJjqKeV&#10;/zxLtFy6uRgFM03wMwdTgA1Sa4VFvUvR5nQWuy9su5ItVeUzsUzIMMdspXJhsQKY/3EWdPV8HV8v&#10;Z8tZOkiHk+UgjYticLdapIPJCjkUo2KxKJJfjkGSZo2oKq4ciZPGk/RtGjretqDOs8pfkX1TTaLX&#10;afhOIKvT37PzWnHyCEKx+/UeC+IEtIbqgKrREO4vvjc4aUD/pKTHu5tT82PLNKdEflKovOskTd1l&#10;94t0PB3iQl9a1pcWpkqEyqmlJEwXNjwQ206LTYORgtYV3KFaa+F19JLVUeN4Pz2Z41viHoDLtfd6&#10;efHmvwEAAP//AwBQSwMEFAAGAAgAAAAhAOJ3UgfgAAAACgEAAA8AAABkcnMvZG93bnJldi54bWxM&#10;j0FLxDAQhe+C/yGM4M1Ntrur29p0qYIgiIdtBa/ZZmyKTVKabFv99Y4nPQ7v48338sNiezbhGDrv&#10;JKxXAhi6xuvOtRLe6qebPbAQldOq9w4lfGGAQ3F5katM+9kdcapiy6jEhUxJMDEOGeehMWhVWPkB&#10;HWUffrQq0jm2XI9qpnLb80SIW25V5+iDUQM+Gmw+q7OV8Dp9l3ei3j1M5rlq/PGl3Nbvs5TXV0t5&#10;DyziEv9g+NUndSjI6eTPTgfWS9iJbUooBckGGAH7NKUtJwnJWmyAFzn/P6H4AQAA//8DAFBLAQIt&#10;ABQABgAIAAAAIQC2gziS/gAAAOEBAAATAAAAAAAAAAAAAAAAAAAAAABbQ29udGVudF9UeXBlc10u&#10;eG1sUEsBAi0AFAAGAAgAAAAhADj9If/WAAAAlAEAAAsAAAAAAAAAAAAAAAAALwEAAF9yZWxzLy5y&#10;ZWxzUEsBAi0AFAAGAAgAAAAhAH2tC06XAgAAOQUAAA4AAAAAAAAAAAAAAAAALgIAAGRycy9lMm9E&#10;b2MueG1sUEsBAi0AFAAGAAgAAAAhAOJ3UgfgAAAACgEAAA8AAAAAAAAAAAAAAAAA8QQAAGRycy9k&#10;b3ducmV2LnhtbFBLBQYAAAAABAAEAPMAAAD+BQAAAAA=&#10;" filled="f" strokecolor="white" strokeweight=".25pt">
                <v:stroke dashstyle="1 1" endcap="round"/>
                <v:textbox>
                  <w:txbxContent>
                    <w:p w:rsidR="002A5484" w:rsidRDefault="002A5484" w:rsidP="006554B3">
                      <w:pPr>
                        <w:numPr>
                          <w:ilvl w:val="0"/>
                          <w:numId w:val="2"/>
                        </w:numPr>
                      </w:pPr>
                      <w:r>
                        <w:t>powierzchnia: 175,0 ha,</w:t>
                      </w:r>
                    </w:p>
                    <w:p w:rsidR="002A5484" w:rsidRDefault="002A5484" w:rsidP="006554B3">
                      <w:pPr>
                        <w:numPr>
                          <w:ilvl w:val="0"/>
                          <w:numId w:val="2"/>
                        </w:numPr>
                      </w:pPr>
                      <w:r>
                        <w:t>objętość: 7358,6 tys. m</w:t>
                      </w:r>
                      <w:r>
                        <w:rPr>
                          <w:vertAlign w:val="superscript"/>
                        </w:rPr>
                        <w:t>3</w:t>
                      </w:r>
                      <w:r>
                        <w:t>,</w:t>
                      </w:r>
                    </w:p>
                    <w:p w:rsidR="002A5484" w:rsidRDefault="002A5484" w:rsidP="006554B3">
                      <w:pPr>
                        <w:numPr>
                          <w:ilvl w:val="0"/>
                          <w:numId w:val="2"/>
                        </w:numPr>
                      </w:pPr>
                      <w:r>
                        <w:t>głębokość maksymalna: 10,5 m,</w:t>
                      </w:r>
                    </w:p>
                    <w:p w:rsidR="002A5484" w:rsidRDefault="002A5484" w:rsidP="006554B3">
                      <w:pPr>
                        <w:numPr>
                          <w:ilvl w:val="0"/>
                          <w:numId w:val="2"/>
                        </w:numPr>
                      </w:pPr>
                      <w:r>
                        <w:t>powierzchnia zlewni całkowitej: 156,05 km</w:t>
                      </w:r>
                      <w:r>
                        <w:rPr>
                          <w:vertAlign w:val="superscript"/>
                        </w:rPr>
                        <w:t>2</w:t>
                      </w:r>
                      <w:r>
                        <w:t>,</w:t>
                      </w:r>
                    </w:p>
                    <w:p w:rsidR="002A5484" w:rsidRDefault="002A5484" w:rsidP="006554B3">
                      <w:pPr>
                        <w:numPr>
                          <w:ilvl w:val="0"/>
                          <w:numId w:val="2"/>
                        </w:numPr>
                      </w:pPr>
                      <w:r>
                        <w:t>typ abiotyczny jeziora: 3b</w:t>
                      </w:r>
                    </w:p>
                    <w:p w:rsidR="002A5484" w:rsidRDefault="002A5484" w:rsidP="006554B3">
                      <w:r>
                        <w:object w:dxaOrig="11679" w:dyaOrig="10429">
                          <v:shape id="_x0000_i1026" type="#_x0000_t75" style="width:1099.2pt;height:981.6pt" o:ole="">
                            <v:imagedata r:id="rId12" o:title=""/>
                          </v:shape>
                          <o:OLEObject Type="Embed" ProgID="CorelDraw.Graphic.8" ShapeID="_x0000_i1026" DrawAspect="Content" ObjectID="_1523693939" r:id="rId14"/>
                        </w:object>
                      </w:r>
                    </w:p>
                  </w:txbxContent>
                </v:textbox>
                <w10:wrap type="square"/>
              </v:shape>
            </w:pict>
          </mc:Fallback>
        </mc:AlternateContent>
      </w:r>
      <w:r>
        <w:object w:dxaOrig="11679" w:dyaOrig="10429">
          <v:shape id="_x0000_i1025" type="#_x0000_t75" style="width:229.8pt;height:205.2pt" o:ole="" o:allowoverlap="f">
            <v:imagedata r:id="rId15" o:title=""/>
          </v:shape>
          <o:OLEObject Type="Embed" ProgID="CorelDraw.Graphic.8" ShapeID="_x0000_i1025" DrawAspect="Content" ObjectID="_1523693938" r:id="rId16"/>
        </w:object>
      </w:r>
    </w:p>
    <w:p w:rsidR="006554B3" w:rsidRPr="00396E4C" w:rsidRDefault="006554B3" w:rsidP="006554B3"/>
    <w:p w:rsidR="006554B3" w:rsidRPr="00396E4C" w:rsidRDefault="006554B3" w:rsidP="006554B3">
      <w:pPr>
        <w:pStyle w:val="Tekstpodstawowywcity2"/>
        <w:spacing w:after="0" w:line="360" w:lineRule="auto"/>
        <w:ind w:left="0" w:firstLine="540"/>
        <w:jc w:val="both"/>
      </w:pPr>
      <w:r w:rsidRPr="00396E4C">
        <w:rPr>
          <w:b/>
          <w:bCs/>
        </w:rPr>
        <w:t>Jezioro Borzymowskie</w:t>
      </w:r>
      <w:r w:rsidRPr="00396E4C">
        <w:t xml:space="preserve"> położone jest w zlewni rzeki Chodeczki w ciągu jezior połączonych ta rzeką. Jezioro ma nieregularny kształt, wcinający się od wschodu półwysep dzieli zbiornik na dwie części. Dno jeziora jest przeciętnie urozmaicone, a stoki misy łagodne. Zarówno w bezpośrednim otoczeniu jak i zlewni całkowitej dominują grunty orne. Brzeg południowo-wschodni jeziora jest dość łagodnie nachylony, a pozostałe są praktycznie płaskie. W efekcie jezioro jest silnie odsłonięte na działanie wiatru, a misa intensywnie reaguje na opady atmosferyczne. Nad jeziorem zlokalizowane jest gospodarstwo rolne, gdzie prowadzony jest chów ok. 700-900 sztuk trzody chlewnej. </w:t>
      </w:r>
      <w:r w:rsidR="00E22DB7" w:rsidRPr="00E22DB7">
        <w:t>Zarówno obornik jak i gnojowica</w:t>
      </w:r>
      <w:r w:rsidR="00E22DB7">
        <w:t>, powstające w wyniku prowadzenia hodowli zwierząt,</w:t>
      </w:r>
      <w:r w:rsidR="00E22DB7" w:rsidRPr="00E22DB7">
        <w:t xml:space="preserve"> wykorzystywana jest na pola własne</w:t>
      </w:r>
      <w:r w:rsidR="00E22DB7">
        <w:t>, w tym również w bezpośrednim sąsiedztwie jeziora</w:t>
      </w:r>
      <w:r w:rsidR="00E22DB7" w:rsidRPr="00E22DB7">
        <w:t xml:space="preserve">. </w:t>
      </w:r>
      <w:r w:rsidRPr="00396E4C">
        <w:t xml:space="preserve">Do jeziora poprzez rów melioracyjny odprowadzane są ścieki z oczyszczalni gminnej w Choceniu, pracującej w zblokowanym systemie SBR. Odległość od jeziora to ok. 1 km. </w:t>
      </w:r>
      <w:r w:rsidR="00AE14F8">
        <w:t>W 2015</w:t>
      </w:r>
      <w:r w:rsidRPr="00396E4C">
        <w:t xml:space="preserve"> roku oczy</w:t>
      </w:r>
      <w:r w:rsidR="00AE14F8">
        <w:t>szczalnia odprowadziła ok. 129,2</w:t>
      </w:r>
      <w:r w:rsidRPr="00396E4C">
        <w:t xml:space="preserve"> tys./m</w:t>
      </w:r>
      <w:r w:rsidRPr="00396E4C">
        <w:rPr>
          <w:vertAlign w:val="superscript"/>
        </w:rPr>
        <w:t>3</w:t>
      </w:r>
      <w:r w:rsidR="00AE14F8">
        <w:t xml:space="preserve"> ścieków, co daje ok. 354</w:t>
      </w:r>
      <w:r w:rsidRPr="00396E4C">
        <w:t xml:space="preserve"> m</w:t>
      </w:r>
      <w:r w:rsidRPr="00396E4C">
        <w:rPr>
          <w:vertAlign w:val="superscript"/>
        </w:rPr>
        <w:t>3</w:t>
      </w:r>
      <w:r w:rsidRPr="00396E4C">
        <w:t xml:space="preserve">/dobę. </w:t>
      </w:r>
    </w:p>
    <w:p w:rsidR="00E615FC" w:rsidRPr="00E615FC" w:rsidRDefault="006554B3" w:rsidP="00E615FC">
      <w:pPr>
        <w:pStyle w:val="Tekstpodstawowy"/>
        <w:spacing w:after="0" w:line="360" w:lineRule="auto"/>
        <w:ind w:firstLine="540"/>
        <w:jc w:val="both"/>
      </w:pPr>
      <w:r w:rsidRPr="00396E4C">
        <w:t>Klasyfikacja najistotniejszego dla oceny jezior elementu biologicznego – indeksu fitoplanktonowego PMPL wska</w:t>
      </w:r>
      <w:r w:rsidR="00AE14F8">
        <w:t>zywała, że jezioro odpowiada II</w:t>
      </w:r>
      <w:r w:rsidRPr="00396E4C">
        <w:t xml:space="preserve"> klasie. Jest bardzo ważny elementem ponieważ uwzględnia: koncentrację chlorofilu i wartość biomasy ogólnej z całego sezonu wegetacyjnego oraz biomasę sinic ze szczytu stagnacji letniej. </w:t>
      </w:r>
      <w:r w:rsidR="00E615FC">
        <w:t xml:space="preserve">Na wiosnę dominowały okrzemki (głównie centryczne), które stanowiły prawie 80% biomasy fitoplanktonu. W maju (przy bardzo niewielkiej biomasie fitoplanktonu) nadal dominują okrzemki, pojawiają się już sinice stanowiąc ok. 20% biomasy. Letni fitoplankton zdominowany jest przez sinice, głównie z rodzaju </w:t>
      </w:r>
      <w:r w:rsidR="00E615FC" w:rsidRPr="00E615FC">
        <w:rPr>
          <w:i/>
        </w:rPr>
        <w:t xml:space="preserve">Microcystis </w:t>
      </w:r>
      <w:r w:rsidR="00E615FC">
        <w:t xml:space="preserve">oraz bruzdnice z rodzaju </w:t>
      </w:r>
      <w:r w:rsidR="00E615FC" w:rsidRPr="00E615FC">
        <w:rPr>
          <w:i/>
        </w:rPr>
        <w:t>Ceratium</w:t>
      </w:r>
      <w:r w:rsidR="00E615FC">
        <w:t xml:space="preserve">, które stanowią </w:t>
      </w:r>
      <w:r w:rsidR="00E615FC">
        <w:lastRenderedPageBreak/>
        <w:t>odpowiednio</w:t>
      </w:r>
      <w:r w:rsidR="009A033A">
        <w:t xml:space="preserve">, które stanowią odpowiednio 35 i 25% biomasy fitoplanktonu. Liczne są w dalszym ciągu okrzemki, które stanowią ok. 30% biomasy. Jesienią zdecydowanie dominują zimnolubne okrzemki. </w:t>
      </w:r>
    </w:p>
    <w:p w:rsidR="006554B3" w:rsidRPr="00396E4C" w:rsidRDefault="006554B3" w:rsidP="00E615FC">
      <w:pPr>
        <w:pStyle w:val="Tekstpodstawowy"/>
        <w:spacing w:after="0" w:line="360" w:lineRule="auto"/>
        <w:ind w:firstLine="540"/>
        <w:jc w:val="both"/>
      </w:pPr>
      <w:r w:rsidRPr="00396E4C">
        <w:t>Pozostałe badania biologiczne były dziedziczone z 2013</w:t>
      </w:r>
      <w:r w:rsidR="00AE14F8">
        <w:t xml:space="preserve"> </w:t>
      </w:r>
      <w:r w:rsidRPr="00396E4C">
        <w:t>roku. Indeks Okrzemkowy (OI</w:t>
      </w:r>
      <w:r w:rsidR="00E615FC">
        <w:t>J) oraz</w:t>
      </w:r>
      <w:r w:rsidRPr="00396E4C">
        <w:t xml:space="preserve"> makrofitowy Indeks ESMI był</w:t>
      </w:r>
      <w:r w:rsidR="00E615FC">
        <w:t>y</w:t>
      </w:r>
      <w:r w:rsidRPr="00396E4C">
        <w:t xml:space="preserve"> na poziomie II klasy. Dla wszystkich elementów biologicznych zintegrowany wskaźnik FLORA odpowiadał</w:t>
      </w:r>
      <w:r w:rsidR="00AE14F8">
        <w:t xml:space="preserve"> stanowi dobremu</w:t>
      </w:r>
      <w:r w:rsidRPr="00396E4C">
        <w:t>.</w:t>
      </w:r>
    </w:p>
    <w:p w:rsidR="006554B3" w:rsidRPr="00396E4C" w:rsidRDefault="006554B3" w:rsidP="006554B3">
      <w:pPr>
        <w:pStyle w:val="Tekstpodstawowywcity2"/>
        <w:spacing w:after="0" w:line="360" w:lineRule="auto"/>
        <w:ind w:left="0" w:firstLine="540"/>
        <w:jc w:val="both"/>
      </w:pPr>
      <w:r w:rsidRPr="00396E4C">
        <w:t xml:space="preserve">Podstawowe elementy fizykochmiczne brane do oceny to: widzialność, przewodność, azot </w:t>
      </w:r>
      <w:r w:rsidR="00AE14F8">
        <w:t>ogólny oraz fosfor ogólny. W</w:t>
      </w:r>
      <w:r w:rsidRPr="00396E4C">
        <w:t xml:space="preserve">artości średnioroczne </w:t>
      </w:r>
      <w:r w:rsidR="00AE14F8">
        <w:t xml:space="preserve">większości z nich </w:t>
      </w:r>
      <w:r w:rsidRPr="00396E4C">
        <w:t>były na poziomie II klasy</w:t>
      </w:r>
      <w:r w:rsidR="00AE14F8">
        <w:t xml:space="preserve"> z wyjątkiem fosforu ogólnego, którego wartość średnioroczna była poniżej stanu dobrego</w:t>
      </w:r>
      <w:r w:rsidRPr="00396E4C">
        <w:t>.</w:t>
      </w:r>
      <w:r w:rsidR="006A4F5F">
        <w:t xml:space="preserve"> </w:t>
      </w:r>
    </w:p>
    <w:p w:rsidR="006554B3" w:rsidRDefault="00AE14F8" w:rsidP="00A20C0A">
      <w:pPr>
        <w:pStyle w:val="Tekstpodstawowywcity2"/>
        <w:spacing w:after="0" w:line="360" w:lineRule="auto"/>
        <w:ind w:left="0" w:firstLine="540"/>
        <w:jc w:val="both"/>
      </w:pPr>
      <w:r w:rsidRPr="00A20C0A">
        <w:t>W 2015</w:t>
      </w:r>
      <w:r w:rsidR="006554B3" w:rsidRPr="00A20C0A">
        <w:t xml:space="preserve"> roku na podstawie przeprowadzonych badań oraz uwzględniając wiedzę ekspercką, stwierdzono </w:t>
      </w:r>
      <w:r w:rsidR="006554B3" w:rsidRPr="00A20C0A">
        <w:rPr>
          <w:b/>
          <w:bCs/>
        </w:rPr>
        <w:t>umiarkowany stan ekologiczny</w:t>
      </w:r>
      <w:r w:rsidR="006554B3" w:rsidRPr="00A20C0A">
        <w:t>, tym samym jeziora należy do zbiorników zagrożonych nieosiągnięciem stanu dobrego</w:t>
      </w:r>
      <w:r w:rsidR="00A72C62" w:rsidRPr="00A20C0A">
        <w:t>.</w:t>
      </w:r>
      <w:r w:rsidR="006554B3" w:rsidRPr="00A20C0A">
        <w:t xml:space="preserve"> </w:t>
      </w:r>
      <w:r w:rsidR="00A72C62" w:rsidRPr="00A20C0A">
        <w:t>O klasyfikacji w 2015 roku zdecydował jede</w:t>
      </w:r>
      <w:r w:rsidR="006554B3" w:rsidRPr="00A20C0A">
        <w:t>n</w:t>
      </w:r>
      <w:r w:rsidR="00A72C62" w:rsidRPr="00A20C0A">
        <w:t xml:space="preserve"> wskaźnik – fosfor ogólny.</w:t>
      </w:r>
    </w:p>
    <w:p w:rsidR="00A72C62" w:rsidRDefault="00A72C62" w:rsidP="00A20C0A">
      <w:pPr>
        <w:spacing w:line="360" w:lineRule="auto"/>
        <w:ind w:firstLine="540"/>
        <w:jc w:val="both"/>
      </w:pPr>
      <w:r w:rsidRPr="00A20C0A">
        <w:rPr>
          <w:bCs/>
        </w:rPr>
        <w:t>W 2015 roku oceniany był stan chemiczny jeziora Borzymowskiego. S</w:t>
      </w:r>
      <w:r w:rsidRPr="00A20C0A">
        <w:t xml:space="preserve">tan chemiczny, określany jest na podstawie 42 substancji szczególnie niebezpiecznych dla środowiska wodnego w tym głównie: węglowodorów, metali ciężkich, pochodnych chlorowcowych węglowodorów oraz pestycydów, w tym pestycydów chloroorganicznych (zał.9 RMŚ; Dz.U.2014.1482). </w:t>
      </w:r>
      <w:r w:rsidR="00A20C0A" w:rsidRPr="00A20C0A">
        <w:t xml:space="preserve">W wodach jeziora Borzymowskiego </w:t>
      </w:r>
      <w:r w:rsidRPr="00A20C0A">
        <w:t>nie stwierdzono pr</w:t>
      </w:r>
      <w:r w:rsidR="00A20C0A" w:rsidRPr="00A20C0A">
        <w:t>zekroczenia dopuszczalnych norm badanych substancji, wi</w:t>
      </w:r>
      <w:r w:rsidRPr="00A20C0A">
        <w:t xml:space="preserve">ększości </w:t>
      </w:r>
      <w:r w:rsidR="00A20C0A">
        <w:t>uzyskanych wyników mieściła</w:t>
      </w:r>
      <w:r w:rsidRPr="00A20C0A">
        <w:t xml:space="preserve"> się poniżej granicy oznaczalności i poniżej wartości dopuszczalnych, stąd stan chemiczny </w:t>
      </w:r>
      <w:r w:rsidR="00A20C0A" w:rsidRPr="00A20C0A">
        <w:t>jeziora</w:t>
      </w:r>
      <w:r w:rsidRPr="00A20C0A">
        <w:t xml:space="preserve"> oceniono jako dobry.</w:t>
      </w:r>
    </w:p>
    <w:sectPr w:rsidR="00A72C6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2F" w:rsidRDefault="00CC4B2F" w:rsidP="00D90A57">
      <w:r>
        <w:separator/>
      </w:r>
    </w:p>
  </w:endnote>
  <w:endnote w:type="continuationSeparator" w:id="0">
    <w:p w:rsidR="00CC4B2F" w:rsidRDefault="00CC4B2F" w:rsidP="00D9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84" w:rsidRDefault="002A54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55153"/>
      <w:docPartObj>
        <w:docPartGallery w:val="Page Numbers (Bottom of Page)"/>
        <w:docPartUnique/>
      </w:docPartObj>
    </w:sdtPr>
    <w:sdtContent>
      <w:p w:rsidR="002A5484" w:rsidRDefault="002A5484">
        <w:pPr>
          <w:pStyle w:val="Stopka"/>
          <w:jc w:val="center"/>
        </w:pPr>
        <w:r>
          <w:fldChar w:fldCharType="begin"/>
        </w:r>
        <w:r>
          <w:instrText>PAGE   \* MERGEFORMAT</w:instrText>
        </w:r>
        <w:r>
          <w:fldChar w:fldCharType="separate"/>
        </w:r>
        <w:r w:rsidR="00E67D88">
          <w:rPr>
            <w:noProof/>
          </w:rPr>
          <w:t>1</w:t>
        </w:r>
        <w:r>
          <w:fldChar w:fldCharType="end"/>
        </w:r>
      </w:p>
    </w:sdtContent>
  </w:sdt>
  <w:p w:rsidR="002A5484" w:rsidRDefault="002A54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84" w:rsidRDefault="002A5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2F" w:rsidRDefault="00CC4B2F" w:rsidP="00D90A57">
      <w:r>
        <w:separator/>
      </w:r>
    </w:p>
  </w:footnote>
  <w:footnote w:type="continuationSeparator" w:id="0">
    <w:p w:rsidR="00CC4B2F" w:rsidRDefault="00CC4B2F" w:rsidP="00D9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84" w:rsidRDefault="002A54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84" w:rsidRDefault="002A54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84" w:rsidRDefault="002A54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22"/>
    <w:multiLevelType w:val="hybridMultilevel"/>
    <w:tmpl w:val="0F22D95A"/>
    <w:lvl w:ilvl="0" w:tplc="0415000B">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
    <w:nsid w:val="04915668"/>
    <w:multiLevelType w:val="singleLevel"/>
    <w:tmpl w:val="45E23D2E"/>
    <w:lvl w:ilvl="0">
      <w:start w:val="1"/>
      <w:numFmt w:val="lowerLetter"/>
      <w:lvlText w:val="%1)"/>
      <w:lvlJc w:val="left"/>
      <w:pPr>
        <w:tabs>
          <w:tab w:val="num" w:pos="360"/>
        </w:tabs>
        <w:ind w:left="360" w:hanging="360"/>
      </w:pPr>
      <w:rPr>
        <w:rFonts w:hint="default"/>
      </w:rPr>
    </w:lvl>
  </w:abstractNum>
  <w:abstractNum w:abstractNumId="2">
    <w:nsid w:val="0C7057C0"/>
    <w:multiLevelType w:val="hybridMultilevel"/>
    <w:tmpl w:val="B53C386E"/>
    <w:lvl w:ilvl="0" w:tplc="D49620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89694B"/>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4">
    <w:nsid w:val="238846C2"/>
    <w:multiLevelType w:val="hybridMultilevel"/>
    <w:tmpl w:val="73D8B9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513A78"/>
    <w:multiLevelType w:val="hybridMultilevel"/>
    <w:tmpl w:val="9424A1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D9183D"/>
    <w:multiLevelType w:val="hybridMultilevel"/>
    <w:tmpl w:val="FD203C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29B3385"/>
    <w:multiLevelType w:val="hybridMultilevel"/>
    <w:tmpl w:val="343089D6"/>
    <w:lvl w:ilvl="0" w:tplc="8F0C3916">
      <w:start w:val="14"/>
      <w:numFmt w:val="bullet"/>
      <w:lvlText w:val="­"/>
      <w:lvlJc w:val="left"/>
      <w:pPr>
        <w:tabs>
          <w:tab w:val="num" w:pos="0"/>
        </w:tabs>
        <w:ind w:left="360" w:hanging="360"/>
      </w:pPr>
      <w:rPr>
        <w:rFonts w:hAnsi="Courier New"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41E6609B"/>
    <w:multiLevelType w:val="hybridMultilevel"/>
    <w:tmpl w:val="5006682E"/>
    <w:lvl w:ilvl="0" w:tplc="04150001">
      <w:start w:val="1"/>
      <w:numFmt w:val="bullet"/>
      <w:lvlText w:val=""/>
      <w:lvlJc w:val="left"/>
      <w:pPr>
        <w:tabs>
          <w:tab w:val="num" w:pos="720"/>
        </w:tabs>
        <w:ind w:left="720" w:hanging="360"/>
      </w:pPr>
      <w:rPr>
        <w:rFonts w:ascii="Symbol" w:hAnsi="Symbol" w:hint="default"/>
      </w:rPr>
    </w:lvl>
    <w:lvl w:ilvl="1" w:tplc="2AC67D3E">
      <w:start w:val="202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0B35530"/>
    <w:multiLevelType w:val="hybridMultilevel"/>
    <w:tmpl w:val="7A1020C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0E"/>
    <w:rsid w:val="002522EA"/>
    <w:rsid w:val="002A5484"/>
    <w:rsid w:val="002B426D"/>
    <w:rsid w:val="003517B2"/>
    <w:rsid w:val="003728F7"/>
    <w:rsid w:val="00640DEA"/>
    <w:rsid w:val="006554B3"/>
    <w:rsid w:val="006A4F5F"/>
    <w:rsid w:val="0081670E"/>
    <w:rsid w:val="009A033A"/>
    <w:rsid w:val="00A20C0A"/>
    <w:rsid w:val="00A72C62"/>
    <w:rsid w:val="00AB0288"/>
    <w:rsid w:val="00AD2664"/>
    <w:rsid w:val="00AE14F8"/>
    <w:rsid w:val="00C428F5"/>
    <w:rsid w:val="00C96F7B"/>
    <w:rsid w:val="00CC4B2F"/>
    <w:rsid w:val="00D90A57"/>
    <w:rsid w:val="00E22DB7"/>
    <w:rsid w:val="00E615FC"/>
    <w:rsid w:val="00E67D88"/>
    <w:rsid w:val="00E71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7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55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1670E"/>
    <w:pPr>
      <w:keepNext/>
      <w:tabs>
        <w:tab w:val="left" w:pos="567"/>
      </w:tabs>
      <w:spacing w:line="360" w:lineRule="auto"/>
      <w:jc w:val="both"/>
      <w:outlineLvl w:val="1"/>
    </w:pPr>
    <w:rPr>
      <w:b/>
      <w:bCs/>
    </w:rPr>
  </w:style>
  <w:style w:type="paragraph" w:styleId="Nagwek3">
    <w:name w:val="heading 3"/>
    <w:basedOn w:val="Normalny"/>
    <w:next w:val="Normalny"/>
    <w:link w:val="Nagwek3Znak"/>
    <w:uiPriority w:val="9"/>
    <w:semiHidden/>
    <w:unhideWhenUsed/>
    <w:qFormat/>
    <w:rsid w:val="006554B3"/>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semiHidden/>
    <w:unhideWhenUsed/>
    <w:qFormat/>
    <w:rsid w:val="006554B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1670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81670E"/>
    <w:pPr>
      <w:spacing w:after="120"/>
    </w:pPr>
  </w:style>
  <w:style w:type="character" w:customStyle="1" w:styleId="TekstpodstawowyZnak">
    <w:name w:val="Tekst podstawowy Znak"/>
    <w:basedOn w:val="Domylnaczcionkaakapitu"/>
    <w:link w:val="Tekstpodstawowy"/>
    <w:rsid w:val="0081670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670E"/>
    <w:rPr>
      <w:b/>
      <w:bCs/>
    </w:rPr>
  </w:style>
  <w:style w:type="character" w:customStyle="1" w:styleId="Nagwek1Znak">
    <w:name w:val="Nagłówek 1 Znak"/>
    <w:basedOn w:val="Domylnaczcionkaakapitu"/>
    <w:link w:val="Nagwek1"/>
    <w:uiPriority w:val="9"/>
    <w:rsid w:val="006554B3"/>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semiHidden/>
    <w:rsid w:val="006554B3"/>
    <w:rPr>
      <w:rFonts w:asciiTheme="majorHAnsi" w:eastAsiaTheme="majorEastAsia" w:hAnsiTheme="majorHAnsi" w:cstheme="majorBidi"/>
      <w:b/>
      <w:bCs/>
      <w:color w:val="4F81BD" w:themeColor="accent1"/>
      <w:sz w:val="24"/>
      <w:szCs w:val="24"/>
      <w:lang w:eastAsia="pl-PL"/>
    </w:rPr>
  </w:style>
  <w:style w:type="paragraph" w:styleId="Tekstpodstawowywcity2">
    <w:name w:val="Body Text Indent 2"/>
    <w:basedOn w:val="Normalny"/>
    <w:link w:val="Tekstpodstawowywcity2Znak"/>
    <w:uiPriority w:val="99"/>
    <w:unhideWhenUsed/>
    <w:rsid w:val="006554B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54B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6554B3"/>
    <w:rPr>
      <w:rFonts w:asciiTheme="majorHAnsi" w:eastAsiaTheme="majorEastAsia" w:hAnsiTheme="majorHAnsi" w:cstheme="majorBidi"/>
      <w:color w:val="404040" w:themeColor="text1" w:themeTint="BF"/>
      <w:sz w:val="20"/>
      <w:szCs w:val="20"/>
      <w:lang w:eastAsia="pl-PL"/>
    </w:rPr>
  </w:style>
  <w:style w:type="paragraph" w:styleId="Tekstdymka">
    <w:name w:val="Balloon Text"/>
    <w:basedOn w:val="Normalny"/>
    <w:link w:val="TekstdymkaZnak"/>
    <w:uiPriority w:val="99"/>
    <w:semiHidden/>
    <w:unhideWhenUsed/>
    <w:rsid w:val="00AB0288"/>
    <w:rPr>
      <w:rFonts w:ascii="Tahoma" w:hAnsi="Tahoma" w:cs="Tahoma"/>
      <w:sz w:val="16"/>
      <w:szCs w:val="16"/>
    </w:rPr>
  </w:style>
  <w:style w:type="character" w:customStyle="1" w:styleId="TekstdymkaZnak">
    <w:name w:val="Tekst dymka Znak"/>
    <w:basedOn w:val="Domylnaczcionkaakapitu"/>
    <w:link w:val="Tekstdymka"/>
    <w:uiPriority w:val="99"/>
    <w:semiHidden/>
    <w:rsid w:val="00AB0288"/>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AD2664"/>
    <w:pPr>
      <w:spacing w:after="120" w:line="480" w:lineRule="auto"/>
    </w:pPr>
  </w:style>
  <w:style w:type="character" w:customStyle="1" w:styleId="Tekstpodstawowy2Znak">
    <w:name w:val="Tekst podstawowy 2 Znak"/>
    <w:basedOn w:val="Domylnaczcionkaakapitu"/>
    <w:link w:val="Tekstpodstawowy2"/>
    <w:uiPriority w:val="99"/>
    <w:semiHidden/>
    <w:rsid w:val="00AD266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AD2664"/>
    <w:pPr>
      <w:spacing w:after="120"/>
      <w:ind w:left="283"/>
    </w:pPr>
  </w:style>
  <w:style w:type="character" w:customStyle="1" w:styleId="TekstpodstawowywcityZnak">
    <w:name w:val="Tekst podstawowy wcięty Znak"/>
    <w:basedOn w:val="Domylnaczcionkaakapitu"/>
    <w:link w:val="Tekstpodstawowywcity"/>
    <w:uiPriority w:val="99"/>
    <w:semiHidden/>
    <w:rsid w:val="00AD266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90A57"/>
    <w:pPr>
      <w:tabs>
        <w:tab w:val="center" w:pos="4536"/>
        <w:tab w:val="right" w:pos="9072"/>
      </w:tabs>
    </w:pPr>
  </w:style>
  <w:style w:type="character" w:customStyle="1" w:styleId="NagwekZnak">
    <w:name w:val="Nagłówek Znak"/>
    <w:basedOn w:val="Domylnaczcionkaakapitu"/>
    <w:link w:val="Nagwek"/>
    <w:uiPriority w:val="99"/>
    <w:rsid w:val="00D90A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0A57"/>
    <w:pPr>
      <w:tabs>
        <w:tab w:val="center" w:pos="4536"/>
        <w:tab w:val="right" w:pos="9072"/>
      </w:tabs>
    </w:pPr>
  </w:style>
  <w:style w:type="character" w:customStyle="1" w:styleId="StopkaZnak">
    <w:name w:val="Stopka Znak"/>
    <w:basedOn w:val="Domylnaczcionkaakapitu"/>
    <w:link w:val="Stopka"/>
    <w:uiPriority w:val="99"/>
    <w:rsid w:val="00D90A5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7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55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1670E"/>
    <w:pPr>
      <w:keepNext/>
      <w:tabs>
        <w:tab w:val="left" w:pos="567"/>
      </w:tabs>
      <w:spacing w:line="360" w:lineRule="auto"/>
      <w:jc w:val="both"/>
      <w:outlineLvl w:val="1"/>
    </w:pPr>
    <w:rPr>
      <w:b/>
      <w:bCs/>
    </w:rPr>
  </w:style>
  <w:style w:type="paragraph" w:styleId="Nagwek3">
    <w:name w:val="heading 3"/>
    <w:basedOn w:val="Normalny"/>
    <w:next w:val="Normalny"/>
    <w:link w:val="Nagwek3Znak"/>
    <w:uiPriority w:val="9"/>
    <w:semiHidden/>
    <w:unhideWhenUsed/>
    <w:qFormat/>
    <w:rsid w:val="006554B3"/>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semiHidden/>
    <w:unhideWhenUsed/>
    <w:qFormat/>
    <w:rsid w:val="006554B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1670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81670E"/>
    <w:pPr>
      <w:spacing w:after="120"/>
    </w:pPr>
  </w:style>
  <w:style w:type="character" w:customStyle="1" w:styleId="TekstpodstawowyZnak">
    <w:name w:val="Tekst podstawowy Znak"/>
    <w:basedOn w:val="Domylnaczcionkaakapitu"/>
    <w:link w:val="Tekstpodstawowy"/>
    <w:rsid w:val="0081670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670E"/>
    <w:rPr>
      <w:b/>
      <w:bCs/>
    </w:rPr>
  </w:style>
  <w:style w:type="character" w:customStyle="1" w:styleId="Nagwek1Znak">
    <w:name w:val="Nagłówek 1 Znak"/>
    <w:basedOn w:val="Domylnaczcionkaakapitu"/>
    <w:link w:val="Nagwek1"/>
    <w:uiPriority w:val="9"/>
    <w:rsid w:val="006554B3"/>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semiHidden/>
    <w:rsid w:val="006554B3"/>
    <w:rPr>
      <w:rFonts w:asciiTheme="majorHAnsi" w:eastAsiaTheme="majorEastAsia" w:hAnsiTheme="majorHAnsi" w:cstheme="majorBidi"/>
      <w:b/>
      <w:bCs/>
      <w:color w:val="4F81BD" w:themeColor="accent1"/>
      <w:sz w:val="24"/>
      <w:szCs w:val="24"/>
      <w:lang w:eastAsia="pl-PL"/>
    </w:rPr>
  </w:style>
  <w:style w:type="paragraph" w:styleId="Tekstpodstawowywcity2">
    <w:name w:val="Body Text Indent 2"/>
    <w:basedOn w:val="Normalny"/>
    <w:link w:val="Tekstpodstawowywcity2Znak"/>
    <w:uiPriority w:val="99"/>
    <w:unhideWhenUsed/>
    <w:rsid w:val="006554B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54B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6554B3"/>
    <w:rPr>
      <w:rFonts w:asciiTheme="majorHAnsi" w:eastAsiaTheme="majorEastAsia" w:hAnsiTheme="majorHAnsi" w:cstheme="majorBidi"/>
      <w:color w:val="404040" w:themeColor="text1" w:themeTint="BF"/>
      <w:sz w:val="20"/>
      <w:szCs w:val="20"/>
      <w:lang w:eastAsia="pl-PL"/>
    </w:rPr>
  </w:style>
  <w:style w:type="paragraph" w:styleId="Tekstdymka">
    <w:name w:val="Balloon Text"/>
    <w:basedOn w:val="Normalny"/>
    <w:link w:val="TekstdymkaZnak"/>
    <w:uiPriority w:val="99"/>
    <w:semiHidden/>
    <w:unhideWhenUsed/>
    <w:rsid w:val="00AB0288"/>
    <w:rPr>
      <w:rFonts w:ascii="Tahoma" w:hAnsi="Tahoma" w:cs="Tahoma"/>
      <w:sz w:val="16"/>
      <w:szCs w:val="16"/>
    </w:rPr>
  </w:style>
  <w:style w:type="character" w:customStyle="1" w:styleId="TekstdymkaZnak">
    <w:name w:val="Tekst dymka Znak"/>
    <w:basedOn w:val="Domylnaczcionkaakapitu"/>
    <w:link w:val="Tekstdymka"/>
    <w:uiPriority w:val="99"/>
    <w:semiHidden/>
    <w:rsid w:val="00AB0288"/>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AD2664"/>
    <w:pPr>
      <w:spacing w:after="120" w:line="480" w:lineRule="auto"/>
    </w:pPr>
  </w:style>
  <w:style w:type="character" w:customStyle="1" w:styleId="Tekstpodstawowy2Znak">
    <w:name w:val="Tekst podstawowy 2 Znak"/>
    <w:basedOn w:val="Domylnaczcionkaakapitu"/>
    <w:link w:val="Tekstpodstawowy2"/>
    <w:uiPriority w:val="99"/>
    <w:semiHidden/>
    <w:rsid w:val="00AD266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AD2664"/>
    <w:pPr>
      <w:spacing w:after="120"/>
      <w:ind w:left="283"/>
    </w:pPr>
  </w:style>
  <w:style w:type="character" w:customStyle="1" w:styleId="TekstpodstawowywcityZnak">
    <w:name w:val="Tekst podstawowy wcięty Znak"/>
    <w:basedOn w:val="Domylnaczcionkaakapitu"/>
    <w:link w:val="Tekstpodstawowywcity"/>
    <w:uiPriority w:val="99"/>
    <w:semiHidden/>
    <w:rsid w:val="00AD266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90A57"/>
    <w:pPr>
      <w:tabs>
        <w:tab w:val="center" w:pos="4536"/>
        <w:tab w:val="right" w:pos="9072"/>
      </w:tabs>
    </w:pPr>
  </w:style>
  <w:style w:type="character" w:customStyle="1" w:styleId="NagwekZnak">
    <w:name w:val="Nagłówek Znak"/>
    <w:basedOn w:val="Domylnaczcionkaakapitu"/>
    <w:link w:val="Nagwek"/>
    <w:uiPriority w:val="99"/>
    <w:rsid w:val="00D90A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0A57"/>
    <w:pPr>
      <w:tabs>
        <w:tab w:val="center" w:pos="4536"/>
        <w:tab w:val="right" w:pos="9072"/>
      </w:tabs>
    </w:pPr>
  </w:style>
  <w:style w:type="character" w:customStyle="1" w:styleId="StopkaZnak">
    <w:name w:val="Stopka Znak"/>
    <w:basedOn w:val="Domylnaczcionkaakapitu"/>
    <w:link w:val="Stopka"/>
    <w:uiPriority w:val="99"/>
    <w:rsid w:val="00D90A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0" i="0" u="none" strike="noStrike" baseline="0">
                <a:solidFill>
                  <a:srgbClr val="000000"/>
                </a:solidFill>
                <a:latin typeface="Arial CE"/>
                <a:ea typeface="Arial CE"/>
                <a:cs typeface="Arial CE"/>
              </a:defRPr>
            </a:pPr>
            <a:r>
              <a:rPr lang="pl-PL" sz="1050" b="1" i="0" u="none" strike="noStrike" baseline="0">
                <a:solidFill>
                  <a:srgbClr val="000000"/>
                </a:solidFill>
                <a:latin typeface="Arial CE"/>
                <a:cs typeface="Arial CE"/>
              </a:rPr>
              <a:t>Wyniki pomiarów pasywnych SO</a:t>
            </a:r>
            <a:r>
              <a:rPr lang="pl-PL" sz="1050" b="1" i="0" u="none" strike="noStrike" baseline="-25000">
                <a:solidFill>
                  <a:srgbClr val="000000"/>
                </a:solidFill>
                <a:latin typeface="Arial CE"/>
                <a:cs typeface="Arial CE"/>
              </a:rPr>
              <a:t>2</a:t>
            </a:r>
            <a:r>
              <a:rPr lang="pl-PL" sz="1050" b="1" i="0" u="none" strike="noStrike" baseline="0">
                <a:solidFill>
                  <a:srgbClr val="000000"/>
                </a:solidFill>
                <a:latin typeface="Arial CE"/>
                <a:cs typeface="Arial CE"/>
              </a:rPr>
              <a:t> z poszczególnych miesięcy 2015 roku</a:t>
            </a:r>
          </a:p>
          <a:p>
            <a:pPr>
              <a:defRPr sz="1475" b="0" i="0" u="none" strike="noStrike" baseline="0">
                <a:solidFill>
                  <a:srgbClr val="000000"/>
                </a:solidFill>
                <a:latin typeface="Arial CE"/>
                <a:ea typeface="Arial CE"/>
                <a:cs typeface="Arial CE"/>
              </a:defRPr>
            </a:pPr>
            <a:r>
              <a:rPr lang="pl-PL" sz="1050" b="0" i="0" u="none" strike="noStrike" baseline="0">
                <a:solidFill>
                  <a:srgbClr val="000000"/>
                </a:solidFill>
                <a:latin typeface="Arial CE"/>
                <a:cs typeface="Arial CE"/>
              </a:rPr>
              <a:t>(4 stacje w powiecie włocławskim)</a:t>
            </a:r>
          </a:p>
        </c:rich>
      </c:tx>
      <c:layout>
        <c:manualLayout>
          <c:xMode val="edge"/>
          <c:yMode val="edge"/>
          <c:x val="0.13458938703674847"/>
          <c:y val="3.0546597475731338E-2"/>
        </c:manualLayout>
      </c:layout>
      <c:overlay val="0"/>
      <c:spPr>
        <a:noFill/>
        <a:ln w="25400">
          <a:noFill/>
        </a:ln>
      </c:spPr>
    </c:title>
    <c:autoTitleDeleted val="0"/>
    <c:plotArea>
      <c:layout>
        <c:manualLayout>
          <c:layoutTarget val="inner"/>
          <c:xMode val="edge"/>
          <c:yMode val="edge"/>
          <c:x val="8.0697512222618853E-2"/>
          <c:y val="0.17692023946205671"/>
          <c:w val="0.8707945072603942"/>
          <c:h val="0.64951781235826744"/>
        </c:manualLayout>
      </c:layout>
      <c:stockChart>
        <c:ser>
          <c:idx val="0"/>
          <c:order val="0"/>
          <c:tx>
            <c:strRef>
              <c:f>Arkusz1!$A$55</c:f>
              <c:strCache>
                <c:ptCount val="1"/>
                <c:pt idx="0">
                  <c:v>stężenie średnie ze wszystkich punktów pomiarowych</c:v>
                </c:pt>
              </c:strCache>
            </c:strRef>
          </c:tx>
          <c:spPr>
            <a:ln>
              <a:prstDash val="dashDot"/>
            </a:ln>
          </c:spPr>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Arkusz1!$B$55:$M$55</c:f>
              <c:numCache>
                <c:formatCode>0.0</c:formatCode>
                <c:ptCount val="12"/>
                <c:pt idx="0">
                  <c:v>12.3125</c:v>
                </c:pt>
                <c:pt idx="1">
                  <c:v>17.8</c:v>
                </c:pt>
                <c:pt idx="2">
                  <c:v>11.45</c:v>
                </c:pt>
                <c:pt idx="3">
                  <c:v>7.4</c:v>
                </c:pt>
                <c:pt idx="4">
                  <c:v>3.5874999999999999</c:v>
                </c:pt>
                <c:pt idx="5">
                  <c:v>2.6</c:v>
                </c:pt>
                <c:pt idx="6">
                  <c:v>1.4000000000000001</c:v>
                </c:pt>
                <c:pt idx="7">
                  <c:v>5.125</c:v>
                </c:pt>
                <c:pt idx="8">
                  <c:v>5.0125000000000002</c:v>
                </c:pt>
                <c:pt idx="9">
                  <c:v>9.3375000000000004</c:v>
                </c:pt>
                <c:pt idx="10">
                  <c:v>11.283333333333333</c:v>
                </c:pt>
                <c:pt idx="11">
                  <c:v>20.566666666666666</c:v>
                </c:pt>
              </c:numCache>
            </c:numRef>
          </c:val>
          <c:smooth val="0"/>
        </c:ser>
        <c:ser>
          <c:idx val="1"/>
          <c:order val="1"/>
          <c:tx>
            <c:strRef>
              <c:f>Arkusz1!$A$56</c:f>
              <c:strCache>
                <c:ptCount val="1"/>
                <c:pt idx="0">
                  <c:v>max stężenie miesięczne wśród wszystkich punktów</c:v>
                </c:pt>
              </c:strCache>
            </c:strRef>
          </c:tx>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Arkusz1!$B$56:$M$56</c:f>
              <c:numCache>
                <c:formatCode>General</c:formatCode>
                <c:ptCount val="12"/>
                <c:pt idx="0">
                  <c:v>27.6</c:v>
                </c:pt>
                <c:pt idx="1">
                  <c:v>44.3</c:v>
                </c:pt>
                <c:pt idx="2">
                  <c:v>24</c:v>
                </c:pt>
                <c:pt idx="3">
                  <c:v>16.899999999999999</c:v>
                </c:pt>
                <c:pt idx="4">
                  <c:v>6</c:v>
                </c:pt>
                <c:pt idx="5">
                  <c:v>3.2</c:v>
                </c:pt>
                <c:pt idx="6">
                  <c:v>2.4</c:v>
                </c:pt>
                <c:pt idx="7">
                  <c:v>13.8</c:v>
                </c:pt>
                <c:pt idx="8">
                  <c:v>9.8000000000000007</c:v>
                </c:pt>
                <c:pt idx="9">
                  <c:v>18.3</c:v>
                </c:pt>
                <c:pt idx="10">
                  <c:v>27</c:v>
                </c:pt>
                <c:pt idx="11">
                  <c:v>32.700000000000003</c:v>
                </c:pt>
              </c:numCache>
            </c:numRef>
          </c:val>
          <c:smooth val="0"/>
        </c:ser>
        <c:ser>
          <c:idx val="2"/>
          <c:order val="2"/>
          <c:tx>
            <c:strRef>
              <c:f>Arkusz1!$A$57</c:f>
              <c:strCache>
                <c:ptCount val="1"/>
                <c:pt idx="0">
                  <c:v>min stężenie miesięczne wśród wszystkich punktów</c:v>
                </c:pt>
              </c:strCache>
            </c:strRef>
          </c:tx>
          <c:spPr>
            <a:ln>
              <a:prstDash val="sysDash"/>
            </a:ln>
          </c:spPr>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Arkusz1!$B$57:$M$57</c:f>
              <c:numCache>
                <c:formatCode>General</c:formatCode>
                <c:ptCount val="12"/>
                <c:pt idx="0">
                  <c:v>6.6</c:v>
                </c:pt>
                <c:pt idx="1">
                  <c:v>8.5</c:v>
                </c:pt>
                <c:pt idx="2">
                  <c:v>4.9000000000000004</c:v>
                </c:pt>
                <c:pt idx="3">
                  <c:v>3.6</c:v>
                </c:pt>
                <c:pt idx="4">
                  <c:v>2.8</c:v>
                </c:pt>
                <c:pt idx="5">
                  <c:v>2.4</c:v>
                </c:pt>
                <c:pt idx="6">
                  <c:v>1.1000000000000001</c:v>
                </c:pt>
                <c:pt idx="7">
                  <c:v>3.5</c:v>
                </c:pt>
                <c:pt idx="8">
                  <c:v>3.9</c:v>
                </c:pt>
                <c:pt idx="9">
                  <c:v>6</c:v>
                </c:pt>
                <c:pt idx="10">
                  <c:v>3.9</c:v>
                </c:pt>
                <c:pt idx="11">
                  <c:v>9.6</c:v>
                </c:pt>
              </c:numCache>
            </c:numRef>
          </c:val>
          <c:smooth val="0"/>
        </c:ser>
        <c:dLbls>
          <c:showLegendKey val="0"/>
          <c:showVal val="0"/>
          <c:showCatName val="0"/>
          <c:showSerName val="0"/>
          <c:showPercent val="0"/>
          <c:showBubbleSize val="0"/>
        </c:dLbls>
        <c:hiLowLines>
          <c:spPr>
            <a:ln w="25400">
              <a:solidFill>
                <a:srgbClr val="008000"/>
              </a:solidFill>
              <a:prstDash val="solid"/>
            </a:ln>
          </c:spPr>
        </c:hiLowLines>
        <c:axId val="102027264"/>
        <c:axId val="102029568"/>
      </c:stockChart>
      <c:catAx>
        <c:axId val="102027264"/>
        <c:scaling>
          <c:orientation val="minMax"/>
        </c:scaling>
        <c:delete val="0"/>
        <c:axPos val="b"/>
        <c:majorGridlines>
          <c:spPr>
            <a:ln w="12700">
              <a:solidFill>
                <a:srgbClr val="FFFFFF"/>
              </a:solidFill>
              <a:prstDash val="solid"/>
            </a:ln>
          </c:spPr>
        </c:majorGridlines>
        <c:numFmt formatCode="General" sourceLinked="1"/>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pl-PL"/>
          </a:p>
        </c:txPr>
        <c:crossAx val="102029568"/>
        <c:crosses val="autoZero"/>
        <c:auto val="1"/>
        <c:lblAlgn val="ctr"/>
        <c:lblOffset val="100"/>
        <c:tickLblSkip val="1"/>
        <c:tickMarkSkip val="1"/>
        <c:noMultiLvlLbl val="0"/>
      </c:catAx>
      <c:valAx>
        <c:axId val="102029568"/>
        <c:scaling>
          <c:orientation val="minMax"/>
        </c:scaling>
        <c:delete val="0"/>
        <c:axPos val="l"/>
        <c:majorGridlines>
          <c:spPr>
            <a:ln w="12700">
              <a:solidFill>
                <a:srgbClr val="FFFFFF"/>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pl-PL" sz="850" b="0" i="0" u="none" strike="noStrike" baseline="0">
                    <a:solidFill>
                      <a:srgbClr val="000000"/>
                    </a:solidFill>
                    <a:latin typeface="Arial CE"/>
                    <a:cs typeface="Arial CE"/>
                  </a:rPr>
                  <a:t>µg/m</a:t>
                </a:r>
                <a:r>
                  <a:rPr lang="pl-PL" sz="850" b="0" i="0" u="none" strike="noStrike" baseline="30000">
                    <a:solidFill>
                      <a:srgbClr val="000000"/>
                    </a:solidFill>
                    <a:latin typeface="Arial CE"/>
                    <a:cs typeface="Arial CE"/>
                  </a:rPr>
                  <a:t>3</a:t>
                </a:r>
              </a:p>
            </c:rich>
          </c:tx>
          <c:layout>
            <c:manualLayout>
              <c:xMode val="edge"/>
              <c:yMode val="edge"/>
              <c:x val="2.2880172574470101E-2"/>
              <c:y val="0.45337611384855481"/>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E"/>
                <a:ea typeface="Arial CE"/>
                <a:cs typeface="Arial CE"/>
              </a:defRPr>
            </a:pPr>
            <a:endParaRPr lang="pl-PL"/>
          </a:p>
        </c:txPr>
        <c:crossAx val="102027264"/>
        <c:crosses val="autoZero"/>
        <c:crossBetween val="between"/>
      </c:valAx>
      <c:spPr>
        <a:solidFill>
          <a:srgbClr val="969696"/>
        </a:solidFill>
        <a:ln w="12700">
          <a:solidFill>
            <a:srgbClr val="808080"/>
          </a:solidFill>
          <a:prstDash val="solid"/>
        </a:ln>
      </c:spPr>
    </c:plotArea>
    <c:legend>
      <c:legendPos val="r"/>
      <c:layout>
        <c:manualLayout>
          <c:xMode val="edge"/>
          <c:yMode val="edge"/>
          <c:x val="0.49950628118050128"/>
          <c:y val="0.16552176729098531"/>
          <c:w val="0.37512041214104669"/>
          <c:h val="0.23867941374218382"/>
        </c:manualLayout>
      </c:layout>
      <c:overlay val="0"/>
      <c:spPr>
        <a:solidFill>
          <a:srgbClr val="C0C0C0"/>
        </a:solidFill>
        <a:ln w="25400">
          <a:noFill/>
        </a:ln>
      </c:spPr>
      <c:txPr>
        <a:bodyPr/>
        <a:lstStyle/>
        <a:p>
          <a:pPr>
            <a:defRPr sz="800" b="0"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475" b="0" i="0" u="none" strike="noStrike" baseline="0">
          <a:solidFill>
            <a:srgbClr val="000000"/>
          </a:solidFill>
          <a:latin typeface="Arial CE"/>
          <a:ea typeface="Arial CE"/>
          <a:cs typeface="Arial CE"/>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0" i="0" u="none" strike="noStrike" baseline="0">
                <a:solidFill>
                  <a:srgbClr val="000000"/>
                </a:solidFill>
                <a:latin typeface="Arial CE"/>
                <a:ea typeface="Arial CE"/>
                <a:cs typeface="Arial CE"/>
              </a:defRPr>
            </a:pPr>
            <a:r>
              <a:rPr lang="pl-PL" sz="1050" b="1" i="0" u="none" strike="noStrike" baseline="0">
                <a:solidFill>
                  <a:srgbClr val="000000"/>
                </a:solidFill>
                <a:latin typeface="Arial CE"/>
                <a:cs typeface="Arial CE"/>
              </a:rPr>
              <a:t>Wyniki pomiarów pasywnych NO</a:t>
            </a:r>
            <a:r>
              <a:rPr lang="pl-PL" sz="1050" b="1" i="0" u="none" strike="noStrike" baseline="-25000">
                <a:solidFill>
                  <a:srgbClr val="000000"/>
                </a:solidFill>
                <a:latin typeface="Arial CE"/>
                <a:cs typeface="Arial CE"/>
              </a:rPr>
              <a:t>2</a:t>
            </a:r>
            <a:r>
              <a:rPr lang="pl-PL" sz="1050" b="1" i="0" u="none" strike="noStrike" baseline="0">
                <a:solidFill>
                  <a:srgbClr val="000000"/>
                </a:solidFill>
                <a:latin typeface="Arial CE"/>
                <a:cs typeface="Arial CE"/>
              </a:rPr>
              <a:t> z poszczególnych miesięcy 2015 roku</a:t>
            </a:r>
          </a:p>
          <a:p>
            <a:pPr>
              <a:defRPr sz="1475" b="0" i="0" u="none" strike="noStrike" baseline="0">
                <a:solidFill>
                  <a:srgbClr val="000000"/>
                </a:solidFill>
                <a:latin typeface="Arial CE"/>
                <a:ea typeface="Arial CE"/>
                <a:cs typeface="Arial CE"/>
              </a:defRPr>
            </a:pPr>
            <a:r>
              <a:rPr lang="pl-PL" sz="1050" b="0" i="0" u="none" strike="noStrike" baseline="0">
                <a:solidFill>
                  <a:srgbClr val="000000"/>
                </a:solidFill>
                <a:latin typeface="Arial CE"/>
                <a:cs typeface="Arial CE"/>
              </a:rPr>
              <a:t>(4 stacje w powiecie włocławskim)</a:t>
            </a:r>
          </a:p>
        </c:rich>
      </c:tx>
      <c:layout>
        <c:manualLayout>
          <c:xMode val="edge"/>
          <c:yMode val="edge"/>
          <c:x val="0.13458938703674847"/>
          <c:y val="3.0546597475731338E-2"/>
        </c:manualLayout>
      </c:layout>
      <c:overlay val="0"/>
      <c:spPr>
        <a:noFill/>
        <a:ln w="25400">
          <a:noFill/>
        </a:ln>
      </c:spPr>
    </c:title>
    <c:autoTitleDeleted val="0"/>
    <c:plotArea>
      <c:layout>
        <c:manualLayout>
          <c:layoutTarget val="inner"/>
          <c:xMode val="edge"/>
          <c:yMode val="edge"/>
          <c:x val="0.10497986331732728"/>
          <c:y val="0.16077173573224443"/>
          <c:w val="0.8707945072603942"/>
          <c:h val="0.64951781235826744"/>
        </c:manualLayout>
      </c:layout>
      <c:stockChart>
        <c:ser>
          <c:idx val="0"/>
          <c:order val="0"/>
          <c:tx>
            <c:strRef>
              <c:f>Arkusz1!$A$9</c:f>
              <c:strCache>
                <c:ptCount val="1"/>
                <c:pt idx="0">
                  <c:v>stężenie średnie ze wszystkich punktów pomiarowych</c:v>
                </c:pt>
              </c:strCache>
            </c:strRef>
          </c:tx>
          <c:spPr>
            <a:ln>
              <a:prstDash val="dashDot"/>
            </a:ln>
          </c:spPr>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Arkusz1!$B$9:$M$9</c:f>
              <c:numCache>
                <c:formatCode>0.0</c:formatCode>
                <c:ptCount val="12"/>
                <c:pt idx="0">
                  <c:v>17.225000000000001</c:v>
                </c:pt>
                <c:pt idx="1">
                  <c:v>17.625</c:v>
                </c:pt>
                <c:pt idx="2">
                  <c:v>14.2</c:v>
                </c:pt>
                <c:pt idx="3">
                  <c:v>8.9250000000000007</c:v>
                </c:pt>
                <c:pt idx="4">
                  <c:v>7.4</c:v>
                </c:pt>
                <c:pt idx="5">
                  <c:v>6.4249999999999989</c:v>
                </c:pt>
                <c:pt idx="6">
                  <c:v>5.5749999999999993</c:v>
                </c:pt>
                <c:pt idx="7">
                  <c:v>9.9</c:v>
                </c:pt>
                <c:pt idx="8">
                  <c:v>13.05</c:v>
                </c:pt>
                <c:pt idx="9">
                  <c:v>18.649999999999999</c:v>
                </c:pt>
                <c:pt idx="10">
                  <c:v>16</c:v>
                </c:pt>
                <c:pt idx="11">
                  <c:v>15.399999999999999</c:v>
                </c:pt>
              </c:numCache>
            </c:numRef>
          </c:val>
          <c:smooth val="0"/>
        </c:ser>
        <c:ser>
          <c:idx val="1"/>
          <c:order val="1"/>
          <c:tx>
            <c:strRef>
              <c:f>Arkusz1!$A$10</c:f>
              <c:strCache>
                <c:ptCount val="1"/>
                <c:pt idx="0">
                  <c:v>max stężenie miesięczne wśród wszystkich punktów</c:v>
                </c:pt>
              </c:strCache>
            </c:strRef>
          </c:tx>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Arkusz1!$B$10:$M$10</c:f>
              <c:numCache>
                <c:formatCode>General</c:formatCode>
                <c:ptCount val="12"/>
                <c:pt idx="0">
                  <c:v>20</c:v>
                </c:pt>
                <c:pt idx="1">
                  <c:v>20.8</c:v>
                </c:pt>
                <c:pt idx="2">
                  <c:v>17.100000000000001</c:v>
                </c:pt>
                <c:pt idx="3">
                  <c:v>15.5</c:v>
                </c:pt>
                <c:pt idx="4">
                  <c:v>9.4</c:v>
                </c:pt>
                <c:pt idx="5">
                  <c:v>7.6</c:v>
                </c:pt>
                <c:pt idx="6">
                  <c:v>6.5</c:v>
                </c:pt>
                <c:pt idx="7">
                  <c:v>12.1</c:v>
                </c:pt>
                <c:pt idx="8">
                  <c:v>15.3</c:v>
                </c:pt>
                <c:pt idx="9">
                  <c:v>23.1</c:v>
                </c:pt>
                <c:pt idx="10">
                  <c:v>17</c:v>
                </c:pt>
                <c:pt idx="11">
                  <c:v>16.600000000000001</c:v>
                </c:pt>
              </c:numCache>
            </c:numRef>
          </c:val>
          <c:smooth val="0"/>
        </c:ser>
        <c:ser>
          <c:idx val="2"/>
          <c:order val="2"/>
          <c:tx>
            <c:strRef>
              <c:f>Arkusz1!$A$11</c:f>
              <c:strCache>
                <c:ptCount val="1"/>
                <c:pt idx="0">
                  <c:v>min stężenie miesięczne wśród wszystkich punktów</c:v>
                </c:pt>
              </c:strCache>
            </c:strRef>
          </c:tx>
          <c:spPr>
            <a:ln>
              <a:prstDash val="sysDash"/>
            </a:ln>
          </c:spPr>
          <c:cat>
            <c:strRef>
              <c:f>Arkusz1!$B$8:$M$8</c:f>
              <c:strCache>
                <c:ptCount val="12"/>
                <c:pt idx="0">
                  <c:v>styczeń</c:v>
                </c:pt>
                <c:pt idx="1">
                  <c:v>luty</c:v>
                </c:pt>
                <c:pt idx="2">
                  <c:v>marzec</c:v>
                </c:pt>
                <c:pt idx="3">
                  <c:v>kwiecień</c:v>
                </c:pt>
                <c:pt idx="4">
                  <c:v>maj</c:v>
                </c:pt>
                <c:pt idx="5">
                  <c:v>czerwiec</c:v>
                </c:pt>
                <c:pt idx="6">
                  <c:v>lipiec</c:v>
                </c:pt>
                <c:pt idx="7">
                  <c:v> sierpień</c:v>
                </c:pt>
                <c:pt idx="8">
                  <c:v>wrzesień</c:v>
                </c:pt>
                <c:pt idx="9">
                  <c:v>październik</c:v>
                </c:pt>
                <c:pt idx="10">
                  <c:v> listopad</c:v>
                </c:pt>
                <c:pt idx="11">
                  <c:v> grudzień</c:v>
                </c:pt>
              </c:strCache>
            </c:strRef>
          </c:cat>
          <c:val>
            <c:numRef>
              <c:f>Arkusz1!$B$11:$M$11</c:f>
              <c:numCache>
                <c:formatCode>General</c:formatCode>
                <c:ptCount val="12"/>
                <c:pt idx="0">
                  <c:v>13.1</c:v>
                </c:pt>
                <c:pt idx="1">
                  <c:v>13</c:v>
                </c:pt>
                <c:pt idx="2">
                  <c:v>10.199999999999999</c:v>
                </c:pt>
                <c:pt idx="3">
                  <c:v>5.5</c:v>
                </c:pt>
                <c:pt idx="4">
                  <c:v>4.4000000000000004</c:v>
                </c:pt>
                <c:pt idx="5">
                  <c:v>4.4000000000000004</c:v>
                </c:pt>
                <c:pt idx="6">
                  <c:v>3.4</c:v>
                </c:pt>
                <c:pt idx="7">
                  <c:v>5.0999999999999996</c:v>
                </c:pt>
                <c:pt idx="8">
                  <c:v>8.5</c:v>
                </c:pt>
                <c:pt idx="9">
                  <c:v>12.1</c:v>
                </c:pt>
                <c:pt idx="10">
                  <c:v>14.1</c:v>
                </c:pt>
                <c:pt idx="11">
                  <c:v>12.7</c:v>
                </c:pt>
              </c:numCache>
            </c:numRef>
          </c:val>
          <c:smooth val="0"/>
        </c:ser>
        <c:dLbls>
          <c:showLegendKey val="0"/>
          <c:showVal val="0"/>
          <c:showCatName val="0"/>
          <c:showSerName val="0"/>
          <c:showPercent val="0"/>
          <c:showBubbleSize val="0"/>
        </c:dLbls>
        <c:hiLowLines>
          <c:spPr>
            <a:ln w="25400">
              <a:solidFill>
                <a:srgbClr val="008000"/>
              </a:solidFill>
              <a:prstDash val="solid"/>
            </a:ln>
          </c:spPr>
        </c:hiLowLines>
        <c:axId val="143126912"/>
        <c:axId val="143128448"/>
      </c:stockChart>
      <c:catAx>
        <c:axId val="143126912"/>
        <c:scaling>
          <c:orientation val="minMax"/>
        </c:scaling>
        <c:delete val="0"/>
        <c:axPos val="b"/>
        <c:majorGridlines>
          <c:spPr>
            <a:ln w="12700">
              <a:solidFill>
                <a:srgbClr val="FFFFFF"/>
              </a:solidFill>
              <a:prstDash val="solid"/>
            </a:ln>
          </c:spPr>
        </c:majorGridlines>
        <c:numFmt formatCode="General" sourceLinked="1"/>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pl-PL"/>
          </a:p>
        </c:txPr>
        <c:crossAx val="143128448"/>
        <c:crosses val="autoZero"/>
        <c:auto val="1"/>
        <c:lblAlgn val="ctr"/>
        <c:lblOffset val="100"/>
        <c:tickLblSkip val="1"/>
        <c:tickMarkSkip val="1"/>
        <c:noMultiLvlLbl val="0"/>
      </c:catAx>
      <c:valAx>
        <c:axId val="143128448"/>
        <c:scaling>
          <c:orientation val="minMax"/>
        </c:scaling>
        <c:delete val="0"/>
        <c:axPos val="l"/>
        <c:majorGridlines>
          <c:spPr>
            <a:ln w="12700">
              <a:solidFill>
                <a:srgbClr val="FFFFFF"/>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pl-PL" sz="850" b="0" i="0" u="none" strike="noStrike" baseline="0">
                    <a:solidFill>
                      <a:srgbClr val="000000"/>
                    </a:solidFill>
                    <a:latin typeface="Arial CE"/>
                    <a:cs typeface="Arial CE"/>
                  </a:rPr>
                  <a:t>µg/m</a:t>
                </a:r>
                <a:r>
                  <a:rPr lang="pl-PL" sz="850" b="0" i="0" u="none" strike="noStrike" baseline="30000">
                    <a:solidFill>
                      <a:srgbClr val="000000"/>
                    </a:solidFill>
                    <a:latin typeface="Arial CE"/>
                    <a:cs typeface="Arial CE"/>
                  </a:rPr>
                  <a:t>3</a:t>
                </a:r>
              </a:p>
            </c:rich>
          </c:tx>
          <c:layout>
            <c:manualLayout>
              <c:xMode val="edge"/>
              <c:yMode val="edge"/>
              <c:x val="2.2880172574470101E-2"/>
              <c:y val="0.45337611384855481"/>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E"/>
                <a:ea typeface="Arial CE"/>
                <a:cs typeface="Arial CE"/>
              </a:defRPr>
            </a:pPr>
            <a:endParaRPr lang="pl-PL"/>
          </a:p>
        </c:txPr>
        <c:crossAx val="143126912"/>
        <c:crosses val="autoZero"/>
        <c:crossBetween val="between"/>
      </c:valAx>
      <c:spPr>
        <a:solidFill>
          <a:srgbClr val="969696"/>
        </a:solidFill>
        <a:ln w="12700">
          <a:solidFill>
            <a:srgbClr val="808080"/>
          </a:solidFill>
          <a:prstDash val="solid"/>
        </a:ln>
      </c:spPr>
    </c:plotArea>
    <c:legend>
      <c:legendPos val="r"/>
      <c:layout>
        <c:manualLayout>
          <c:xMode val="edge"/>
          <c:yMode val="edge"/>
          <c:x val="0.35294143528915695"/>
          <c:y val="0.16008337835109487"/>
          <c:w val="0.39727595119312381"/>
          <c:h val="0.19786893055771157"/>
        </c:manualLayout>
      </c:layout>
      <c:overlay val="0"/>
      <c:spPr>
        <a:solidFill>
          <a:srgbClr val="C0C0C0"/>
        </a:solidFill>
        <a:ln w="25400">
          <a:noFill/>
        </a:ln>
      </c:spPr>
      <c:txPr>
        <a:bodyPr/>
        <a:lstStyle/>
        <a:p>
          <a:pPr>
            <a:defRPr sz="825" b="0"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475" b="0" i="0" u="none" strike="noStrike" baseline="0">
          <a:solidFill>
            <a:srgbClr val="000000"/>
          </a:solidFill>
          <a:latin typeface="Arial CE"/>
          <a:ea typeface="Arial CE"/>
          <a:cs typeface="Arial CE"/>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374D-D735-4CD9-BB4D-17575668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3915</Words>
  <Characters>23495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dc:creator>
  <cp:lastModifiedBy>monitoring</cp:lastModifiedBy>
  <cp:revision>18</cp:revision>
  <cp:lastPrinted>2016-05-02T08:21:00Z</cp:lastPrinted>
  <dcterms:created xsi:type="dcterms:W3CDTF">2016-04-06T08:42:00Z</dcterms:created>
  <dcterms:modified xsi:type="dcterms:W3CDTF">2016-05-02T09:33:00Z</dcterms:modified>
</cp:coreProperties>
</file>